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247B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Antička baština na tlu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1139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7E631A">
              <w:rPr>
                <w:rFonts w:ascii="Times New Roman" w:hAnsi="Times New Roman" w:cs="Times New Roman"/>
                <w:sz w:val="20"/>
              </w:rPr>
              <w:t>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E631A" w:rsidRDefault="007E63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631A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049E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049E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049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049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049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049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049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B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049E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49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E631A" w:rsidRDefault="007E63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učionica, prema rasporedu predavanja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7E631A" w:rsidRDefault="00444611" w:rsidP="007E63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24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 20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  <w:r w:rsidR="007E631A"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310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7E631A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7E631A">
              <w:rPr>
                <w:rFonts w:ascii="Times New Roman" w:hAnsi="Times New Roman" w:cs="Times New Roman"/>
                <w:sz w:val="18"/>
              </w:rPr>
              <w:t>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6247B8">
              <w:rPr>
                <w:rFonts w:ascii="Times New Roman" w:hAnsi="Times New Roman" w:cs="Times New Roman"/>
                <w:sz w:val="18"/>
              </w:rPr>
              <w:t>II</w:t>
            </w:r>
            <w:r>
              <w:rPr>
                <w:rFonts w:ascii="Times New Roman" w:hAnsi="Times New Roman" w:cs="Times New Roman"/>
                <w:sz w:val="18"/>
              </w:rPr>
              <w:t>. semestar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Miroslav Glavičić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7E631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631A">
              <w:rPr>
                <w:rFonts w:ascii="Times New Roman" w:hAnsi="Times New Roman"/>
                <w:sz w:val="18"/>
                <w:szCs w:val="18"/>
              </w:rPr>
              <w:t>glavicic@unizd.hr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</w:t>
            </w:r>
            <w:r w:rsidR="006247B8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="006247B8">
              <w:rPr>
                <w:rFonts w:ascii="Times New Roman" w:hAnsi="Times New Roman" w:cs="Times New Roman"/>
                <w:sz w:val="18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49E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247B8" w:rsidRDefault="006247B8" w:rsidP="007E63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6247B8">
              <w:rPr>
                <w:rFonts w:ascii="Times New Roman" w:hAnsi="Times New Roman"/>
                <w:sz w:val="18"/>
                <w:szCs w:val="18"/>
              </w:rPr>
              <w:t>Budući da su tekovine antičke civilizacije koje smo baštinili, također i spomenička baština i materijalna kultura antike koja nas okružuje, sastavni dio našeg kulturnog identiteta, glavni je cilj kolegija da ih se prouči u njihovom integralnom arheološkom i historijskom kontekstu.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247B8" w:rsidRPr="006247B8" w:rsidRDefault="006247B8" w:rsidP="006247B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247B8">
              <w:rPr>
                <w:rFonts w:ascii="Times New Roman" w:hAnsi="Times New Roman"/>
                <w:bCs/>
                <w:sz w:val="18"/>
                <w:szCs w:val="18"/>
              </w:rPr>
              <w:t>Nakon položenog ispita studenti će:</w:t>
            </w:r>
          </w:p>
          <w:p w:rsidR="006247B8" w:rsidRPr="006247B8" w:rsidRDefault="006247B8" w:rsidP="006247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18"/>
                <w:szCs w:val="18"/>
                <w:lang w:eastAsia="hr-HR"/>
              </w:rPr>
            </w:pPr>
            <w:r w:rsidRPr="006247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6247B8">
              <w:rPr>
                <w:rFonts w:ascii="Times New Roman" w:hAnsi="Times New Roman"/>
                <w:sz w:val="18"/>
                <w:szCs w:val="18"/>
              </w:rPr>
              <w:t>steći opći uvid u spomeničku baštinu i materijalnu kulturu antike dokumentiranu na tlu Hrvatske</w:t>
            </w:r>
            <w:r w:rsidRPr="006247B8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  <w:p w:rsidR="006247B8" w:rsidRPr="006247B8" w:rsidRDefault="006247B8" w:rsidP="006247B8">
            <w:pPr>
              <w:rPr>
                <w:rFonts w:ascii="Times New Roman" w:hAnsi="Times New Roman"/>
                <w:sz w:val="18"/>
                <w:szCs w:val="18"/>
              </w:rPr>
            </w:pPr>
            <w:r w:rsidRPr="006247B8">
              <w:rPr>
                <w:rFonts w:ascii="Times New Roman" w:hAnsi="Times New Roman"/>
                <w:sz w:val="18"/>
                <w:szCs w:val="18"/>
              </w:rPr>
              <w:t xml:space="preserve">- steći temeljna znanja o najznačajnijim urbanističkim cjelinama, arhitektonskim objektima i pojedinačnim spomenicima dokumentiranim na prostoru </w:t>
            </w:r>
            <w:proofErr w:type="spellStart"/>
            <w:r w:rsidRPr="006247B8">
              <w:rPr>
                <w:rFonts w:ascii="Times New Roman" w:hAnsi="Times New Roman"/>
                <w:sz w:val="18"/>
                <w:szCs w:val="18"/>
              </w:rPr>
              <w:t>Histrije</w:t>
            </w:r>
            <w:proofErr w:type="spellEnd"/>
            <w:r w:rsidRPr="006247B8">
              <w:rPr>
                <w:rFonts w:ascii="Times New Roman" w:hAnsi="Times New Roman"/>
                <w:sz w:val="18"/>
                <w:szCs w:val="18"/>
              </w:rPr>
              <w:t>, Dalmacije i Panonije u antičkom i kasnoantičkom razdoblju,</w:t>
            </w:r>
          </w:p>
          <w:p w:rsidR="00785CAA" w:rsidRPr="00B4202A" w:rsidRDefault="006247B8" w:rsidP="006247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247B8">
              <w:rPr>
                <w:rFonts w:ascii="Times New Roman" w:hAnsi="Times New Roman"/>
                <w:sz w:val="18"/>
                <w:szCs w:val="18"/>
              </w:rPr>
              <w:t>- percipirati složene procese romanizacije i akulturacije u historijskom i arheološkom kontekstu na predmetnom prostoru.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na zadanu temu.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6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44461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06. 2020; 23. 06. 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471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09.2020; 21. 09.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6247B8" w:rsidRDefault="006247B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247B8">
              <w:rPr>
                <w:rFonts w:ascii="Times New Roman" w:hAnsi="Times New Roman"/>
                <w:sz w:val="18"/>
                <w:szCs w:val="18"/>
              </w:rPr>
              <w:t xml:space="preserve">Pod utjecajem helenističke kulture i poglavito rimske civilizacije na istočnom Jadranu i njegovom </w:t>
            </w:r>
            <w:proofErr w:type="spellStart"/>
            <w:r w:rsidRPr="006247B8">
              <w:rPr>
                <w:rFonts w:ascii="Times New Roman" w:hAnsi="Times New Roman"/>
                <w:sz w:val="18"/>
                <w:szCs w:val="18"/>
              </w:rPr>
              <w:t>limitrofnom</w:t>
            </w:r>
            <w:proofErr w:type="spellEnd"/>
            <w:r w:rsidRPr="006247B8">
              <w:rPr>
                <w:rFonts w:ascii="Times New Roman" w:hAnsi="Times New Roman"/>
                <w:sz w:val="18"/>
                <w:szCs w:val="18"/>
              </w:rPr>
              <w:t xml:space="preserve"> prostoru zbivale su se tijekom antike snažne političke, društvene i kulturološke promjene. Ilirik, kasnije postupno razdvojen na </w:t>
            </w:r>
            <w:proofErr w:type="spellStart"/>
            <w:r w:rsidRPr="006247B8">
              <w:rPr>
                <w:rFonts w:ascii="Times New Roman" w:hAnsi="Times New Roman"/>
                <w:sz w:val="18"/>
                <w:szCs w:val="18"/>
              </w:rPr>
              <w:t>Histriju</w:t>
            </w:r>
            <w:proofErr w:type="spellEnd"/>
            <w:r w:rsidRPr="006247B8">
              <w:rPr>
                <w:rFonts w:ascii="Times New Roman" w:hAnsi="Times New Roman"/>
                <w:sz w:val="18"/>
                <w:szCs w:val="18"/>
              </w:rPr>
              <w:t xml:space="preserve"> i provinciju Dalmaciju i Panoniju, bio je čvrsto sjedinjenjem u rimski državno-pravni, fiskalni i gospodarski okvir. Prihvaćanjem rimskih životnih obrazaca stanovništvo kreira novi "</w:t>
            </w:r>
            <w:proofErr w:type="spellStart"/>
            <w:r w:rsidRPr="006247B8">
              <w:rPr>
                <w:rFonts w:ascii="Times New Roman" w:hAnsi="Times New Roman"/>
                <w:sz w:val="18"/>
                <w:szCs w:val="18"/>
              </w:rPr>
              <w:t>rimski"identitet</w:t>
            </w:r>
            <w:proofErr w:type="spellEnd"/>
            <w:r w:rsidRPr="006247B8">
              <w:rPr>
                <w:rFonts w:ascii="Times New Roman" w:hAnsi="Times New Roman"/>
                <w:sz w:val="18"/>
                <w:szCs w:val="18"/>
              </w:rPr>
              <w:t>, koji se jasno očituje u prihvaćanju latinskog jezika i pisma, rimskoga prava, institucija, urbanizma, arhitekture, religije i kulta, umjetnosti i drugih civilizacijskih normi življenja. Nove tehnologije, promet i trgovina potakli su snažan gospodarski razvoj. Izgradnjom gradova, luka, cesta i drugih infrastrukturnih objekata, također centurijacijom agera i gradnjom objekata gospodarsko-ladanjskog karaktera na teritoriju, trajno se promijenio kulturni krajolik. Razvojem kršćanstva nastale su nove duhovne vrijednosti, koje se reflektiraju u crkvenoj ranokršćanskoj arhitekturi, umjetnosti, epigrafiji i dr.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 xml:space="preserve">Kronološki pregled povijesnih zbivanja u Iliriku: grčka kolonizacija, autohtoni supstrat, rimsko osvajanje, rimska uprava u </w:t>
            </w:r>
            <w:proofErr w:type="spellStart"/>
            <w:r w:rsidR="006247B8" w:rsidRPr="005B4D7D">
              <w:rPr>
                <w:rFonts w:ascii="Times New Roman" w:hAnsi="Times New Roman"/>
                <w:sz w:val="18"/>
                <w:szCs w:val="18"/>
              </w:rPr>
              <w:t>Histriji</w:t>
            </w:r>
            <w:proofErr w:type="spellEnd"/>
            <w:r w:rsidR="006247B8" w:rsidRPr="005B4D7D">
              <w:rPr>
                <w:rFonts w:ascii="Times New Roman" w:hAnsi="Times New Roman"/>
                <w:sz w:val="18"/>
                <w:szCs w:val="18"/>
              </w:rPr>
              <w:t>, Dalmaciji i Panoniji, kasnoantičko razdoblje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Helenistička baština: urbanizam, arhitektura, skulptura, umjetnički obrt, novac, pismo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47148C" w:rsidRPr="005B4D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Rimska vojska i organizacija uprave u Iliriku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5B4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Epigrafija kao civilizacijski izraz u Iliriku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 xml:space="preserve">Urbanizam i arhitektura </w:t>
            </w:r>
            <w:proofErr w:type="spellStart"/>
            <w:r w:rsidR="006247B8" w:rsidRPr="005B4D7D">
              <w:rPr>
                <w:rFonts w:ascii="Times New Roman" w:hAnsi="Times New Roman"/>
                <w:sz w:val="18"/>
                <w:szCs w:val="18"/>
              </w:rPr>
              <w:t>rimskodobnih</w:t>
            </w:r>
            <w:proofErr w:type="spellEnd"/>
            <w:r w:rsidR="006247B8" w:rsidRPr="005B4D7D">
              <w:rPr>
                <w:rFonts w:ascii="Times New Roman" w:hAnsi="Times New Roman"/>
                <w:sz w:val="18"/>
                <w:szCs w:val="18"/>
              </w:rPr>
              <w:t xml:space="preserve"> gradova u </w:t>
            </w:r>
            <w:proofErr w:type="spellStart"/>
            <w:r w:rsidR="006247B8" w:rsidRPr="005B4D7D">
              <w:rPr>
                <w:rFonts w:ascii="Times New Roman" w:hAnsi="Times New Roman"/>
                <w:sz w:val="18"/>
                <w:szCs w:val="18"/>
              </w:rPr>
              <w:t>Histriji</w:t>
            </w:r>
            <w:proofErr w:type="spellEnd"/>
            <w:r w:rsidR="006247B8" w:rsidRPr="005B4D7D">
              <w:rPr>
                <w:rFonts w:ascii="Times New Roman" w:hAnsi="Times New Roman"/>
                <w:sz w:val="18"/>
                <w:szCs w:val="18"/>
              </w:rPr>
              <w:t>, Dalmaciji i Panoniji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Gospodarstvo (poljoprivreda, obrt, rudarstvo, trgovina, monetarni sustav), promet i pomorstvo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247B8" w:rsidRPr="005B4D7D">
              <w:rPr>
                <w:rFonts w:ascii="Times New Roman" w:hAnsi="Times New Roman"/>
                <w:sz w:val="18"/>
                <w:szCs w:val="18"/>
              </w:rPr>
              <w:t>Kiparstvo (javna i privatna skulptura), mozaici, slikarstvo, umjetnički obrt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>Kiparstvo (javna i privatna skulptura), mozaici, slikarstvo, umjetnički obrt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Sepulkralni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 spomenici (stele, are, sarkofazi, spomenici tipa tzv. liburnski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cipusi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 i japodske urne)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Municipalizacija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 u Liburniji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Antički gradovi i naselja u Istri (Pola,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Parentium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Nesactium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Antički gradovi i naselja u Dalmaciji (Salona,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Narona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Epidaurum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>...)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>Lika i Banovina u rimsko doba</w:t>
            </w:r>
          </w:p>
          <w:p w:rsidR="009A284F" w:rsidRPr="005B4D7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47148C" w:rsidRPr="005B4D7D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5B4D7D" w:rsidRPr="005B4D7D">
              <w:rPr>
                <w:rFonts w:ascii="Times New Roman" w:hAnsi="Times New Roman"/>
                <w:sz w:val="18"/>
                <w:szCs w:val="18"/>
              </w:rPr>
              <w:t>Antički gradovi i naselja u Panoniji (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Aquae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Iasae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Andautonia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Siscia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Mursa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B4D7D" w:rsidRPr="005B4D7D">
              <w:rPr>
                <w:rFonts w:ascii="Times New Roman" w:hAnsi="Times New Roman"/>
                <w:sz w:val="18"/>
                <w:szCs w:val="18"/>
              </w:rPr>
              <w:t>Cibalae</w:t>
            </w:r>
            <w:proofErr w:type="spellEnd"/>
            <w:r w:rsidR="005B4D7D" w:rsidRPr="005B4D7D">
              <w:rPr>
                <w:rFonts w:ascii="Times New Roman" w:hAnsi="Times New Roman"/>
                <w:sz w:val="18"/>
                <w:szCs w:val="18"/>
              </w:rPr>
              <w:t>...)</w:t>
            </w:r>
          </w:p>
          <w:p w:rsidR="005B4D7D" w:rsidRPr="005B3159" w:rsidRDefault="005B4D7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B4D7D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Kasnoantička i ranokršćanska baština na tlu Hrvatske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Grci na tlu Hrvatske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katalog izložbe, Galerija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Klovićevi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dvori, Zagreb, 2010.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Nenad Cambi,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portret u Hrvatskoj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Nakladni zavod Matice hrvatske, 1991.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Nenad Cambi,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Imago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animi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: antički portret u Hrvatskoj,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Književni krug, Split, 2000.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Nenad Cambi,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Antika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Naklada Ljevak, Zagreb, 2002.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Nenad Cambi,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Kiparstvo rimske Dalmacije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Književni krug, Split, 2005.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Klasični Rim na tlu Hrvatske: arhitektura, urbanizam, skulptura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katalog izložbe, Galerija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Klovićevi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dvori, Zagreb, 2014.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>Robert Matijašić, Povijest hrvatskih zemalja u antici do cara Dioklecijana, 2009.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>Robert Matijašić, Povijest hrvatskih zemalja u kasnoj antici od Dioklecijana do Justinijana, 2012.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Mirjana Sanader,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Kroatien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der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Antike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Verlag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Phillip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von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Zabern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Mainz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am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Rhein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, 2007.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Stotinu hrvatskih arheoloških nalazišta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Leksikografski zavod Miroslav Krleža, Zagreb, 2006.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Mate Suić,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grad na istočnom Jadranu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 (2. dopunjeno izdanje), Golden marketing, Zagreb, 2003.</w:t>
            </w:r>
          </w:p>
          <w:p w:rsidR="009A284F" w:rsidRPr="009947BA" w:rsidRDefault="005B4D7D" w:rsidP="005B4D7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Marin Zaninović,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Od Helena do Hrvata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Školska knjiga, Zagreb, 1996.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Antička Salona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ur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. N. Cambi), Književni krug, Split, 1991.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>Marija Buzov, Antički gradovi</w:t>
            </w:r>
            <w:r w:rsidRPr="005B4D7D">
              <w:rPr>
                <w:rStyle w:val="highlight"/>
                <w:rFonts w:ascii="Times New Roman" w:hAnsi="Times New Roman"/>
                <w:sz w:val="18"/>
                <w:szCs w:val="18"/>
              </w:rPr>
              <w:t xml:space="preserve"> u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kontinentalnoj </w:t>
            </w:r>
            <w:r w:rsidRPr="005B4D7D">
              <w:rPr>
                <w:rStyle w:val="highlight"/>
                <w:rFonts w:ascii="Times New Roman" w:hAnsi="Times New Roman"/>
                <w:sz w:val="18"/>
                <w:szCs w:val="18"/>
              </w:rPr>
              <w:t xml:space="preserve">Hrvatskoj, 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>I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zdanja Hrvatskog arheološkog društva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sv. 25, Zagreb, 2010, 137-171.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Marija Buzov,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i ranokršćanski mozaici s natpisom u Hrvatskoj: arheološke rasprave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Zagreb, 2014.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Boris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Čargo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Issa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: povijesno-arheološki vodič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Arheološki muzej, Split, 2004.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Vesna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Girardi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Jurkić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Duhovna kultura antičke Istre. Kultovi u procesu romanizacije antičke Istre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(Knjiga I), Školska knjiga, Zagreb, 2005.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Branko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Kirig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Issa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: grčki grad na Jadranu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Matica hrvatska, 1996.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Robert Matijašić,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Gospodarstvo antičke Istre, arheološki ostaci kao izvori za poznavanje društveno-gospodarskih odnosa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 xml:space="preserve"> u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Istri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 xml:space="preserve"> u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antici (I. st. pr. Kr.-III. st.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posl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. Kr.)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Pula, 1988.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Robert Matijašić,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Pula. Antički grad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Arheološki muzej, Pula, 2005.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Jagoda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Meder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Podni mozaici u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Hrvatskooj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od 1. do 6. stoljeća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Zagreb, 2003.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Nalazi rimske vojne opreme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 xml:space="preserve"> u Hrvatskoj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Finds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of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Roman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military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equipment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Croatia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), katalog izložbe, Arheološki muzej Zagreb, Zagreb, 2010.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Karl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Patsch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Lika u rimsko doba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(prijevod Z.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Derossi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), Biblioteka Ličke župe, Gospić, 1990.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Pharos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: antički stari grad, u povodu 2380. obljetnice utemeljenja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katalog izložbe, Muzejsko galerijski centar, Zagreb, 1995.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Danica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Pinterović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Mursa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i njeno područje u antičko doba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Osijek, 1978.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Mirjana Sanader,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Antički gradovi u Hrvatskoj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Školska knjiga, 2004.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Mirjana Sanader,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Ancient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Greek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and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Roman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Cities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in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Croatia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Školska knjiga, 2004.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Mirjana Sanader,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Imago</w:t>
            </w:r>
            <w:proofErr w:type="spellEnd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provinciarum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, Zagreb, 2008.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Jasna Šimić – Slavica Filipović,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Kelti i Rimljani na području Osijeka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katalog izložbe, Muzej Slavonije, 1997.</w:t>
            </w:r>
          </w:p>
          <w:p w:rsidR="005B4D7D" w:rsidRPr="005B4D7D" w:rsidRDefault="005B4D7D" w:rsidP="005B4D7D">
            <w:pPr>
              <w:rPr>
                <w:rFonts w:ascii="Times New Roman" w:hAnsi="Times New Roman"/>
                <w:sz w:val="18"/>
                <w:szCs w:val="18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Domagoj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Tončinić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Spomenici VII. legije na području rimske provincije Dalmacije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, Arheološki muzej, Katalozi i monografije, 4, Split, 2011.</w:t>
            </w:r>
          </w:p>
          <w:p w:rsidR="009A284F" w:rsidRPr="007F7603" w:rsidRDefault="005B4D7D" w:rsidP="005B4D7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5B4D7D">
              <w:rPr>
                <w:rFonts w:ascii="Times New Roman" w:hAnsi="Times New Roman"/>
                <w:sz w:val="18"/>
                <w:szCs w:val="18"/>
              </w:rPr>
              <w:t xml:space="preserve">Branka </w:t>
            </w:r>
            <w:proofErr w:type="spellStart"/>
            <w:r w:rsidRPr="005B4D7D">
              <w:rPr>
                <w:rFonts w:ascii="Times New Roman" w:hAnsi="Times New Roman"/>
                <w:sz w:val="18"/>
                <w:szCs w:val="18"/>
              </w:rPr>
              <w:t>Vikić-Belančić</w:t>
            </w:r>
            <w:proofErr w:type="spellEnd"/>
            <w:r w:rsidRPr="005B4D7D">
              <w:rPr>
                <w:rFonts w:ascii="Times New Roman" w:hAnsi="Times New Roman"/>
                <w:sz w:val="18"/>
                <w:szCs w:val="18"/>
              </w:rPr>
              <w:t>, Tipovi naselja</w:t>
            </w:r>
            <w:r w:rsidRPr="005B4D7D">
              <w:rPr>
                <w:rStyle w:val="highlight"/>
                <w:rFonts w:ascii="Times New Roman" w:hAnsi="Times New Roman"/>
                <w:sz w:val="18"/>
                <w:szCs w:val="18"/>
              </w:rPr>
              <w:t xml:space="preserve"> u 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 xml:space="preserve">sjeverozapadnoj </w:t>
            </w:r>
            <w:r w:rsidRPr="005B4D7D">
              <w:rPr>
                <w:rStyle w:val="highlight"/>
                <w:rFonts w:ascii="Times New Roman" w:hAnsi="Times New Roman"/>
                <w:sz w:val="18"/>
                <w:szCs w:val="18"/>
              </w:rPr>
              <w:t xml:space="preserve">Hrvatskoj, </w:t>
            </w:r>
            <w:r w:rsidRPr="005B4D7D">
              <w:rPr>
                <w:rStyle w:val="highlight"/>
                <w:rFonts w:ascii="Times New Roman" w:hAnsi="Times New Roman"/>
                <w:i/>
                <w:sz w:val="18"/>
                <w:szCs w:val="18"/>
              </w:rPr>
              <w:t>I</w:t>
            </w:r>
            <w:r w:rsidRPr="005B4D7D">
              <w:rPr>
                <w:rFonts w:ascii="Times New Roman" w:hAnsi="Times New Roman"/>
                <w:i/>
                <w:sz w:val="18"/>
                <w:szCs w:val="18"/>
              </w:rPr>
              <w:t>zdanja Hrvatskog arheološkog društva</w:t>
            </w:r>
            <w:r w:rsidRPr="005B4D7D">
              <w:rPr>
                <w:rFonts w:ascii="Times New Roman" w:hAnsi="Times New Roman"/>
                <w:sz w:val="18"/>
                <w:szCs w:val="18"/>
              </w:rPr>
              <w:t>; sv. 2, Zagreb, 1978, 159-176.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049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049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049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</w:t>
            </w:r>
            <w:r w:rsidR="00A53B2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049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049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049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049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049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049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049E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42CF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>0% prezentacija zadane teme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049E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E5" w:rsidRDefault="000049E5" w:rsidP="009947BA">
      <w:pPr>
        <w:spacing w:before="0" w:after="0"/>
      </w:pPr>
      <w:r>
        <w:separator/>
      </w:r>
    </w:p>
  </w:endnote>
  <w:endnote w:type="continuationSeparator" w:id="0">
    <w:p w:rsidR="000049E5" w:rsidRDefault="000049E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E5" w:rsidRDefault="000049E5" w:rsidP="009947BA">
      <w:pPr>
        <w:spacing w:before="0" w:after="0"/>
      </w:pPr>
      <w:r>
        <w:separator/>
      </w:r>
    </w:p>
  </w:footnote>
  <w:footnote w:type="continuationSeparator" w:id="0">
    <w:p w:rsidR="000049E5" w:rsidRDefault="000049E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7FD2"/>
    <w:multiLevelType w:val="hybridMultilevel"/>
    <w:tmpl w:val="134CB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9E5"/>
    <w:rsid w:val="000053A7"/>
    <w:rsid w:val="0001045D"/>
    <w:rsid w:val="000A790E"/>
    <w:rsid w:val="000C0578"/>
    <w:rsid w:val="0010332B"/>
    <w:rsid w:val="001443A2"/>
    <w:rsid w:val="00150B32"/>
    <w:rsid w:val="00197510"/>
    <w:rsid w:val="0022722C"/>
    <w:rsid w:val="002569B5"/>
    <w:rsid w:val="0028545A"/>
    <w:rsid w:val="002E1CE6"/>
    <w:rsid w:val="002F2D22"/>
    <w:rsid w:val="00326091"/>
    <w:rsid w:val="00357643"/>
    <w:rsid w:val="00371634"/>
    <w:rsid w:val="00386E9C"/>
    <w:rsid w:val="00392430"/>
    <w:rsid w:val="00393964"/>
    <w:rsid w:val="003A3E41"/>
    <w:rsid w:val="003A3FA8"/>
    <w:rsid w:val="003F11B6"/>
    <w:rsid w:val="003F17B8"/>
    <w:rsid w:val="00422C56"/>
    <w:rsid w:val="004251C4"/>
    <w:rsid w:val="00444611"/>
    <w:rsid w:val="00453362"/>
    <w:rsid w:val="00461219"/>
    <w:rsid w:val="00470F6D"/>
    <w:rsid w:val="0047148C"/>
    <w:rsid w:val="00483BC3"/>
    <w:rsid w:val="004923F4"/>
    <w:rsid w:val="004B553E"/>
    <w:rsid w:val="005353ED"/>
    <w:rsid w:val="005514C3"/>
    <w:rsid w:val="005B3159"/>
    <w:rsid w:val="005B4D7D"/>
    <w:rsid w:val="005D3518"/>
    <w:rsid w:val="005E1668"/>
    <w:rsid w:val="005F6E0B"/>
    <w:rsid w:val="0062328F"/>
    <w:rsid w:val="006247B8"/>
    <w:rsid w:val="00684BBC"/>
    <w:rsid w:val="006B4920"/>
    <w:rsid w:val="00700D7A"/>
    <w:rsid w:val="00734337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631A"/>
    <w:rsid w:val="007F7603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16F4"/>
    <w:rsid w:val="009947BA"/>
    <w:rsid w:val="00997F41"/>
    <w:rsid w:val="009A284F"/>
    <w:rsid w:val="009C56B1"/>
    <w:rsid w:val="009D5226"/>
    <w:rsid w:val="009E2FD4"/>
    <w:rsid w:val="00A11398"/>
    <w:rsid w:val="00A31040"/>
    <w:rsid w:val="00A42CF4"/>
    <w:rsid w:val="00A53B20"/>
    <w:rsid w:val="00A9132B"/>
    <w:rsid w:val="00AA1A5A"/>
    <w:rsid w:val="00AD23FB"/>
    <w:rsid w:val="00B4202A"/>
    <w:rsid w:val="00B612F8"/>
    <w:rsid w:val="00B66578"/>
    <w:rsid w:val="00B71A57"/>
    <w:rsid w:val="00B7307A"/>
    <w:rsid w:val="00C02454"/>
    <w:rsid w:val="00C3477B"/>
    <w:rsid w:val="00C6109F"/>
    <w:rsid w:val="00C85956"/>
    <w:rsid w:val="00C9733D"/>
    <w:rsid w:val="00CA3783"/>
    <w:rsid w:val="00CB23F4"/>
    <w:rsid w:val="00CF5EFB"/>
    <w:rsid w:val="00D136E4"/>
    <w:rsid w:val="00D5334D"/>
    <w:rsid w:val="00D5523D"/>
    <w:rsid w:val="00D601D3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917E0"/>
    <w:rsid w:val="00FC2198"/>
    <w:rsid w:val="00FC283E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ft">
    <w:name w:val="ft"/>
    <w:basedOn w:val="Zadanifontodlomka"/>
    <w:rsid w:val="0047148C"/>
  </w:style>
  <w:style w:type="character" w:customStyle="1" w:styleId="highlight">
    <w:name w:val="highlight"/>
    <w:basedOn w:val="Zadanifontodlomka"/>
    <w:rsid w:val="005B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6BB6-F330-4945-A080-2ABB73B0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stutic</cp:lastModifiedBy>
  <cp:revision>2</cp:revision>
  <dcterms:created xsi:type="dcterms:W3CDTF">2020-05-28T11:38:00Z</dcterms:created>
  <dcterms:modified xsi:type="dcterms:W3CDTF">2020-05-28T11:38:00Z</dcterms:modified>
</cp:coreProperties>
</file>