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pPr w:leftFromText="180" w:rightFromText="180" w:vertAnchor="page" w:horzAnchor="margin" w:tblpY="1816"/>
        <w:tblW w:w="9367" w:type="dxa"/>
        <w:tblLook w:val="04A0" w:firstRow="1" w:lastRow="0" w:firstColumn="1" w:lastColumn="0" w:noHBand="0" w:noVBand="1"/>
      </w:tblPr>
      <w:tblGrid>
        <w:gridCol w:w="2074"/>
        <w:gridCol w:w="1149"/>
        <w:gridCol w:w="670"/>
        <w:gridCol w:w="527"/>
        <w:gridCol w:w="810"/>
        <w:gridCol w:w="133"/>
        <w:gridCol w:w="1068"/>
        <w:gridCol w:w="772"/>
        <w:gridCol w:w="249"/>
        <w:gridCol w:w="1915"/>
      </w:tblGrid>
      <w:tr w:rsidR="008A2253" w:rsidRPr="00B657E9" w:rsidTr="008A2253">
        <w:tc>
          <w:tcPr>
            <w:tcW w:w="2074" w:type="dxa"/>
            <w:tcBorders>
              <w:top w:val="single" w:sz="12" w:space="0" w:color="auto"/>
              <w:left w:val="single" w:sz="12" w:space="0" w:color="auto"/>
              <w:bottom w:val="single" w:sz="12" w:space="0" w:color="auto"/>
              <w:right w:val="single" w:sz="12" w:space="0" w:color="auto"/>
            </w:tcBorders>
          </w:tcPr>
          <w:p w:rsidR="008A2253" w:rsidRPr="00B657E9" w:rsidRDefault="008A2253" w:rsidP="008A2253">
            <w:pPr>
              <w:jc w:val="center"/>
              <w:rPr>
                <w:rFonts w:ascii="Merriweather" w:hAnsi="Merriweather" w:cs="Times New Roman"/>
              </w:rPr>
            </w:pPr>
            <w:r w:rsidRPr="00B657E9">
              <w:rPr>
                <w:rFonts w:ascii="Merriweather" w:hAnsi="Merriweather" w:cs="Times New Roman"/>
              </w:rPr>
              <w:t xml:space="preserve">Department </w:t>
            </w:r>
          </w:p>
          <w:p w:rsidR="008A2253" w:rsidRPr="00B657E9" w:rsidRDefault="008A2253" w:rsidP="008A2253">
            <w:pPr>
              <w:jc w:val="center"/>
              <w:rPr>
                <w:rFonts w:ascii="Merriweather" w:hAnsi="Merriweather" w:cs="Times New Roman"/>
              </w:rPr>
            </w:pPr>
          </w:p>
        </w:tc>
        <w:tc>
          <w:tcPr>
            <w:tcW w:w="7293" w:type="dxa"/>
            <w:gridSpan w:val="9"/>
            <w:tcBorders>
              <w:top w:val="single" w:sz="12" w:space="0" w:color="auto"/>
              <w:left w:val="single" w:sz="12" w:space="0" w:color="auto"/>
              <w:bottom w:val="single" w:sz="12" w:space="0" w:color="auto"/>
              <w:right w:val="single" w:sz="12" w:space="0" w:color="auto"/>
            </w:tcBorders>
          </w:tcPr>
          <w:p w:rsidR="008A2253" w:rsidRPr="00B657E9" w:rsidRDefault="008A2253" w:rsidP="008A2253">
            <w:pPr>
              <w:jc w:val="center"/>
              <w:rPr>
                <w:rFonts w:ascii="Merriweather" w:hAnsi="Merriweather" w:cs="Times New Roman"/>
              </w:rPr>
            </w:pPr>
            <w:r w:rsidRPr="00B657E9">
              <w:rPr>
                <w:rFonts w:ascii="Merriweather" w:hAnsi="Merriweather" w:cs="Times New Roman"/>
                <w:lang w:val="en-GB"/>
              </w:rPr>
              <w:t>Department of archaeology</w:t>
            </w:r>
          </w:p>
        </w:tc>
      </w:tr>
      <w:tr w:rsidR="008A2253" w:rsidRPr="00B657E9" w:rsidTr="008A2253">
        <w:tc>
          <w:tcPr>
            <w:tcW w:w="9367" w:type="dxa"/>
            <w:gridSpan w:val="10"/>
            <w:tcBorders>
              <w:left w:val="single" w:sz="12" w:space="0" w:color="auto"/>
              <w:bottom w:val="single" w:sz="12" w:space="0" w:color="auto"/>
              <w:right w:val="single" w:sz="12" w:space="0" w:color="auto"/>
            </w:tcBorders>
          </w:tcPr>
          <w:p w:rsidR="008A2253" w:rsidRPr="00B657E9" w:rsidRDefault="008A2253" w:rsidP="008A2253">
            <w:pPr>
              <w:jc w:val="center"/>
              <w:rPr>
                <w:rFonts w:ascii="Merriweather" w:hAnsi="Merriweather" w:cs="Times New Roman"/>
              </w:rPr>
            </w:pPr>
          </w:p>
          <w:p w:rsidR="008A2253" w:rsidRPr="00B657E9" w:rsidRDefault="008A2253" w:rsidP="008A2253">
            <w:pPr>
              <w:jc w:val="center"/>
              <w:rPr>
                <w:rFonts w:ascii="Merriweather" w:hAnsi="Merriweather" w:cs="Times New Roman"/>
              </w:rPr>
            </w:pPr>
            <w:r w:rsidRPr="00B657E9">
              <w:rPr>
                <w:rFonts w:ascii="Merriweather" w:hAnsi="Merriweather" w:cs="Times New Roman"/>
              </w:rPr>
              <w:t xml:space="preserve">Description of the courses </w:t>
            </w:r>
            <w:proofErr w:type="spellStart"/>
            <w:r w:rsidRPr="00B657E9">
              <w:rPr>
                <w:rFonts w:ascii="Merriweather" w:hAnsi="Merriweather" w:cs="Times New Roman"/>
              </w:rPr>
              <w:t>offered</w:t>
            </w:r>
            <w:proofErr w:type="spellEnd"/>
            <w:r w:rsidRPr="00B657E9">
              <w:rPr>
                <w:rFonts w:ascii="Merriweather" w:hAnsi="Merriweather" w:cs="Times New Roman"/>
              </w:rPr>
              <w:t xml:space="preserve"> </w:t>
            </w:r>
            <w:proofErr w:type="spellStart"/>
            <w:r w:rsidRPr="00B657E9">
              <w:rPr>
                <w:rFonts w:ascii="Merriweather" w:hAnsi="Merriweather" w:cs="Times New Roman"/>
              </w:rPr>
              <w:t>in</w:t>
            </w:r>
            <w:proofErr w:type="spellEnd"/>
            <w:r w:rsidRPr="00B657E9">
              <w:rPr>
                <w:rFonts w:ascii="Merriweather" w:hAnsi="Merriweather" w:cs="Times New Roman"/>
              </w:rPr>
              <w:t xml:space="preserve"> a </w:t>
            </w:r>
            <w:proofErr w:type="spellStart"/>
            <w:r w:rsidRPr="00B657E9">
              <w:rPr>
                <w:rFonts w:ascii="Merriweather" w:hAnsi="Merriweather" w:cs="Times New Roman"/>
              </w:rPr>
              <w:t>foreign</w:t>
            </w:r>
            <w:proofErr w:type="spellEnd"/>
            <w:r w:rsidRPr="00B657E9">
              <w:rPr>
                <w:rFonts w:ascii="Merriweather" w:hAnsi="Merriweather" w:cs="Times New Roman"/>
              </w:rPr>
              <w:t xml:space="preserve"> </w:t>
            </w:r>
            <w:proofErr w:type="spellStart"/>
            <w:r w:rsidRPr="00B657E9">
              <w:rPr>
                <w:rFonts w:ascii="Merriweather" w:hAnsi="Merriweather" w:cs="Times New Roman"/>
              </w:rPr>
              <w:t>language</w:t>
            </w:r>
            <w:proofErr w:type="spellEnd"/>
            <w:r w:rsidR="00476229" w:rsidRPr="00B657E9">
              <w:rPr>
                <w:rFonts w:ascii="Merriweather" w:hAnsi="Merriweather" w:cs="Times New Roman"/>
              </w:rPr>
              <w:t xml:space="preserve"> </w:t>
            </w:r>
            <w:proofErr w:type="spellStart"/>
            <w:r w:rsidR="00476229" w:rsidRPr="00B657E9">
              <w:rPr>
                <w:rFonts w:ascii="Merriweather" w:hAnsi="Merriweather" w:cs="Times New Roman"/>
              </w:rPr>
              <w:t>in</w:t>
            </w:r>
            <w:proofErr w:type="spellEnd"/>
            <w:r w:rsidR="00476229" w:rsidRPr="00B657E9">
              <w:rPr>
                <w:rFonts w:ascii="Merriweather" w:hAnsi="Merriweather" w:cs="Times New Roman"/>
              </w:rPr>
              <w:t xml:space="preserve"> </w:t>
            </w:r>
            <w:proofErr w:type="spellStart"/>
            <w:r w:rsidR="00476229" w:rsidRPr="00B657E9">
              <w:rPr>
                <w:rFonts w:ascii="Merriweather" w:hAnsi="Merriweather" w:cs="Times New Roman"/>
              </w:rPr>
              <w:t>the</w:t>
            </w:r>
            <w:proofErr w:type="spellEnd"/>
            <w:r w:rsidR="00476229" w:rsidRPr="00B657E9">
              <w:rPr>
                <w:rFonts w:ascii="Merriweather" w:hAnsi="Merriweather" w:cs="Times New Roman"/>
              </w:rPr>
              <w:t xml:space="preserve"> </w:t>
            </w:r>
            <w:proofErr w:type="spellStart"/>
            <w:r w:rsidR="00476229" w:rsidRPr="00B657E9">
              <w:rPr>
                <w:rFonts w:ascii="Merriweather" w:hAnsi="Merriweather" w:cs="Times New Roman"/>
              </w:rPr>
              <w:t>academic</w:t>
            </w:r>
            <w:proofErr w:type="spellEnd"/>
            <w:r w:rsidR="00476229" w:rsidRPr="00B657E9">
              <w:rPr>
                <w:rFonts w:ascii="Merriweather" w:hAnsi="Merriweather" w:cs="Times New Roman"/>
              </w:rPr>
              <w:t xml:space="preserve"> </w:t>
            </w:r>
            <w:proofErr w:type="spellStart"/>
            <w:r w:rsidR="00476229" w:rsidRPr="00B657E9">
              <w:rPr>
                <w:rFonts w:ascii="Merriweather" w:hAnsi="Merriweather" w:cs="Times New Roman"/>
              </w:rPr>
              <w:t>year</w:t>
            </w:r>
            <w:proofErr w:type="spellEnd"/>
            <w:r w:rsidR="00476229" w:rsidRPr="00B657E9">
              <w:rPr>
                <w:rFonts w:ascii="Merriweather" w:hAnsi="Merriweather" w:cs="Times New Roman"/>
              </w:rPr>
              <w:t xml:space="preserve"> </w:t>
            </w:r>
            <w:r w:rsidR="008178B7">
              <w:rPr>
                <w:rFonts w:ascii="Merriweather" w:hAnsi="Merriweather" w:cs="Times New Roman"/>
              </w:rPr>
              <w:t>2024/2025</w:t>
            </w:r>
          </w:p>
          <w:p w:rsidR="008A2253" w:rsidRPr="00B657E9" w:rsidRDefault="008178B7" w:rsidP="008178B7">
            <w:pPr>
              <w:tabs>
                <w:tab w:val="left" w:pos="5595"/>
              </w:tabs>
              <w:rPr>
                <w:rFonts w:ascii="Merriweather" w:hAnsi="Merriweather" w:cs="Times New Roman"/>
              </w:rPr>
            </w:pPr>
            <w:r>
              <w:rPr>
                <w:rFonts w:ascii="Merriweather" w:hAnsi="Merriweather" w:cs="Times New Roman"/>
              </w:rPr>
              <w:tab/>
            </w:r>
            <w:bookmarkStart w:id="0" w:name="_GoBack"/>
            <w:bookmarkEnd w:id="0"/>
          </w:p>
        </w:tc>
      </w:tr>
      <w:tr w:rsidR="008A2253" w:rsidRPr="00B657E9" w:rsidTr="008A2253">
        <w:tc>
          <w:tcPr>
            <w:tcW w:w="2074" w:type="dxa"/>
            <w:tcBorders>
              <w:top w:val="single" w:sz="12" w:space="0" w:color="auto"/>
              <w:left w:val="single" w:sz="12" w:space="0" w:color="auto"/>
              <w:bottom w:val="single" w:sz="12" w:space="0" w:color="auto"/>
              <w:right w:val="single" w:sz="12" w:space="0" w:color="auto"/>
            </w:tcBorders>
          </w:tcPr>
          <w:p w:rsidR="008A2253" w:rsidRPr="00B657E9" w:rsidRDefault="008A2253" w:rsidP="008A2253">
            <w:pPr>
              <w:rPr>
                <w:rFonts w:ascii="Merriweather" w:hAnsi="Merriweather" w:cs="Times New Roman"/>
              </w:rPr>
            </w:pPr>
            <w:r w:rsidRPr="00B657E9">
              <w:rPr>
                <w:rFonts w:ascii="Merriweather" w:hAnsi="Merriweather" w:cs="Times New Roman"/>
              </w:rPr>
              <w:t>Name of the course</w:t>
            </w:r>
          </w:p>
        </w:tc>
        <w:tc>
          <w:tcPr>
            <w:tcW w:w="7293" w:type="dxa"/>
            <w:gridSpan w:val="9"/>
            <w:tcBorders>
              <w:top w:val="single" w:sz="12" w:space="0" w:color="auto"/>
              <w:left w:val="single" w:sz="12" w:space="0" w:color="auto"/>
              <w:bottom w:val="single" w:sz="12" w:space="0" w:color="auto"/>
              <w:right w:val="single" w:sz="12" w:space="0" w:color="auto"/>
            </w:tcBorders>
          </w:tcPr>
          <w:p w:rsidR="008A2253" w:rsidRPr="00B657E9" w:rsidRDefault="008A2253" w:rsidP="008A2253">
            <w:pPr>
              <w:rPr>
                <w:rFonts w:ascii="Merriweather" w:hAnsi="Merriweather" w:cs="Times New Roman"/>
              </w:rPr>
            </w:pPr>
            <w:r w:rsidRPr="00B657E9">
              <w:rPr>
                <w:rFonts w:ascii="Merriweather" w:hAnsi="Merriweather" w:cs="Times New Roman"/>
                <w:lang w:val="en-GB"/>
              </w:rPr>
              <w:t>Amphorae and maritime trade in the Mediterranean</w:t>
            </w:r>
          </w:p>
        </w:tc>
      </w:tr>
      <w:tr w:rsidR="008A2253" w:rsidRPr="00B657E9" w:rsidTr="008A2253">
        <w:tc>
          <w:tcPr>
            <w:tcW w:w="2074" w:type="dxa"/>
            <w:tcBorders>
              <w:top w:val="single" w:sz="12" w:space="0" w:color="auto"/>
              <w:left w:val="single" w:sz="12" w:space="0" w:color="auto"/>
              <w:bottom w:val="single" w:sz="12" w:space="0" w:color="auto"/>
              <w:right w:val="single" w:sz="12" w:space="0" w:color="auto"/>
            </w:tcBorders>
          </w:tcPr>
          <w:p w:rsidR="008A2253" w:rsidRPr="00B657E9" w:rsidRDefault="008A2253" w:rsidP="008A2253">
            <w:pPr>
              <w:rPr>
                <w:rFonts w:ascii="Merriweather" w:hAnsi="Merriweather" w:cs="Times New Roman"/>
              </w:rPr>
            </w:pPr>
            <w:r w:rsidRPr="00B657E9">
              <w:rPr>
                <w:rFonts w:ascii="Merriweather" w:hAnsi="Merriweather" w:cs="Times New Roman"/>
              </w:rPr>
              <w:t>Name of the teacher</w:t>
            </w:r>
          </w:p>
        </w:tc>
        <w:tc>
          <w:tcPr>
            <w:tcW w:w="7293" w:type="dxa"/>
            <w:gridSpan w:val="9"/>
            <w:tcBorders>
              <w:top w:val="single" w:sz="12" w:space="0" w:color="auto"/>
              <w:left w:val="single" w:sz="12" w:space="0" w:color="auto"/>
              <w:right w:val="single" w:sz="12" w:space="0" w:color="auto"/>
            </w:tcBorders>
          </w:tcPr>
          <w:p w:rsidR="00C0757B" w:rsidRPr="00B657E9" w:rsidRDefault="008A2253" w:rsidP="007036DB">
            <w:pPr>
              <w:rPr>
                <w:rFonts w:ascii="Merriweather" w:hAnsi="Merriweather" w:cs="Times New Roman"/>
              </w:rPr>
            </w:pPr>
            <w:proofErr w:type="spellStart"/>
            <w:r w:rsidRPr="00B657E9">
              <w:rPr>
                <w:rFonts w:ascii="Merriweather" w:hAnsi="Merriweather" w:cs="Times New Roman"/>
              </w:rPr>
              <w:t>Ass</w:t>
            </w:r>
            <w:r w:rsidR="00C0757B" w:rsidRPr="00B657E9">
              <w:rPr>
                <w:rFonts w:ascii="Merriweather" w:hAnsi="Merriweather" w:cs="Times New Roman"/>
              </w:rPr>
              <w:t>oc</w:t>
            </w:r>
            <w:proofErr w:type="spellEnd"/>
            <w:r w:rsidR="00C0757B" w:rsidRPr="00B657E9">
              <w:rPr>
                <w:rFonts w:ascii="Merriweather" w:hAnsi="Merriweather" w:cs="Times New Roman"/>
              </w:rPr>
              <w:t>.</w:t>
            </w:r>
            <w:r w:rsidR="007036DB" w:rsidRPr="00B657E9">
              <w:rPr>
                <w:rFonts w:ascii="Merriweather" w:hAnsi="Merriweather" w:cs="Times New Roman"/>
              </w:rPr>
              <w:t xml:space="preserve"> Prof. Dr. Irena Radić Rossi </w:t>
            </w:r>
          </w:p>
        </w:tc>
      </w:tr>
      <w:tr w:rsidR="008A2253" w:rsidRPr="00B657E9" w:rsidTr="00476229">
        <w:tc>
          <w:tcPr>
            <w:tcW w:w="2074" w:type="dxa"/>
            <w:tcBorders>
              <w:top w:val="single" w:sz="12" w:space="0" w:color="auto"/>
              <w:left w:val="single" w:sz="12" w:space="0" w:color="auto"/>
              <w:bottom w:val="single" w:sz="12" w:space="0" w:color="auto"/>
              <w:right w:val="single" w:sz="12" w:space="0" w:color="auto"/>
            </w:tcBorders>
          </w:tcPr>
          <w:p w:rsidR="008A2253" w:rsidRPr="00B657E9" w:rsidRDefault="008A2253" w:rsidP="008A2253">
            <w:pPr>
              <w:rPr>
                <w:rFonts w:ascii="Merriweather" w:hAnsi="Merriweather" w:cs="Times New Roman"/>
              </w:rPr>
            </w:pPr>
            <w:r w:rsidRPr="00B657E9">
              <w:rPr>
                <w:rFonts w:ascii="Merriweather" w:hAnsi="Merriweather" w:cs="Times New Roman"/>
              </w:rPr>
              <w:t>Number of ECTS credits</w:t>
            </w:r>
          </w:p>
        </w:tc>
        <w:tc>
          <w:tcPr>
            <w:tcW w:w="1806" w:type="dxa"/>
            <w:gridSpan w:val="2"/>
            <w:tcBorders>
              <w:top w:val="single" w:sz="12" w:space="0" w:color="auto"/>
              <w:left w:val="single" w:sz="12" w:space="0" w:color="auto"/>
              <w:bottom w:val="single" w:sz="12" w:space="0" w:color="auto"/>
              <w:right w:val="single" w:sz="12" w:space="0" w:color="auto"/>
            </w:tcBorders>
          </w:tcPr>
          <w:p w:rsidR="008A2253" w:rsidRPr="00B657E9" w:rsidRDefault="008A2253" w:rsidP="008A2253">
            <w:pPr>
              <w:rPr>
                <w:rFonts w:ascii="Merriweather" w:hAnsi="Merriweather" w:cs="Times New Roman"/>
              </w:rPr>
            </w:pPr>
          </w:p>
          <w:p w:rsidR="008A2253" w:rsidRPr="00B657E9" w:rsidRDefault="008A2253" w:rsidP="008A2253">
            <w:pPr>
              <w:jc w:val="center"/>
              <w:rPr>
                <w:rFonts w:ascii="Merriweather" w:hAnsi="Merriweather" w:cs="Times New Roman"/>
              </w:rPr>
            </w:pPr>
            <w:r w:rsidRPr="00B657E9">
              <w:rPr>
                <w:rFonts w:ascii="Merriweather" w:hAnsi="Merriweather" w:cs="Times New Roman"/>
              </w:rPr>
              <w:t>4</w:t>
            </w:r>
          </w:p>
        </w:tc>
        <w:tc>
          <w:tcPr>
            <w:tcW w:w="1340" w:type="dxa"/>
            <w:gridSpan w:val="2"/>
            <w:tcBorders>
              <w:top w:val="single" w:sz="12" w:space="0" w:color="auto"/>
              <w:left w:val="single" w:sz="12" w:space="0" w:color="auto"/>
              <w:bottom w:val="single" w:sz="12" w:space="0" w:color="auto"/>
            </w:tcBorders>
            <w:vAlign w:val="center"/>
          </w:tcPr>
          <w:p w:rsidR="008A2253" w:rsidRPr="00B657E9" w:rsidRDefault="008A2253" w:rsidP="008A2253">
            <w:pPr>
              <w:rPr>
                <w:rFonts w:ascii="Merriweather" w:hAnsi="Merriweather" w:cs="Times New Roman"/>
              </w:rPr>
            </w:pPr>
            <w:r w:rsidRPr="00B657E9">
              <w:rPr>
                <w:rFonts w:ascii="Merriweather" w:hAnsi="Merriweather" w:cs="Times New Roman"/>
              </w:rPr>
              <w:t>Semester</w:t>
            </w:r>
          </w:p>
        </w:tc>
        <w:tc>
          <w:tcPr>
            <w:tcW w:w="1976" w:type="dxa"/>
            <w:gridSpan w:val="3"/>
            <w:tcBorders>
              <w:top w:val="single" w:sz="12" w:space="0" w:color="auto"/>
              <w:right w:val="single" w:sz="2" w:space="0" w:color="auto"/>
            </w:tcBorders>
          </w:tcPr>
          <w:p w:rsidR="008A2253" w:rsidRPr="00B657E9" w:rsidRDefault="00476229" w:rsidP="008A2253">
            <w:pPr>
              <w:rPr>
                <w:rFonts w:ascii="Merriweather" w:hAnsi="Merriweather" w:cs="Times New Roman"/>
              </w:rPr>
            </w:pPr>
            <w:r w:rsidRPr="00B657E9">
              <w:rPr>
                <w:rFonts w:ascii="Times New Roman" w:hAnsi="Times New Roman" w:cs="Times New Roman"/>
              </w:rPr>
              <w:t>□</w:t>
            </w:r>
            <w:r w:rsidRPr="00B657E9">
              <w:rPr>
                <w:rFonts w:ascii="Merriweather" w:hAnsi="Merriweather" w:cs="Times New Roman"/>
              </w:rPr>
              <w:t xml:space="preserve"> </w:t>
            </w:r>
            <w:r w:rsidR="008A2253" w:rsidRPr="00B657E9">
              <w:rPr>
                <w:rFonts w:ascii="Merriweather" w:hAnsi="Merriweather" w:cs="Times New Roman"/>
              </w:rPr>
              <w:t>autumn/winter</w:t>
            </w:r>
          </w:p>
        </w:tc>
        <w:tc>
          <w:tcPr>
            <w:tcW w:w="2171" w:type="dxa"/>
            <w:gridSpan w:val="2"/>
            <w:tcBorders>
              <w:top w:val="single" w:sz="12" w:space="0" w:color="auto"/>
              <w:left w:val="single" w:sz="2" w:space="0" w:color="auto"/>
              <w:bottom w:val="single" w:sz="12" w:space="0" w:color="auto"/>
              <w:right w:val="single" w:sz="12" w:space="0" w:color="auto"/>
            </w:tcBorders>
          </w:tcPr>
          <w:p w:rsidR="008A2253" w:rsidRPr="00B657E9" w:rsidRDefault="00476229" w:rsidP="00476229">
            <w:pPr>
              <w:rPr>
                <w:rFonts w:ascii="Merriweather" w:hAnsi="Merriweather" w:cs="Times New Roman"/>
              </w:rPr>
            </w:pPr>
            <w:r w:rsidRPr="00B657E9">
              <w:rPr>
                <w:rFonts w:ascii="Times New Roman" w:hAnsi="Times New Roman" w:cs="Times New Roman"/>
              </w:rPr>
              <w:t>■</w:t>
            </w:r>
            <w:r w:rsidRPr="00B657E9">
              <w:rPr>
                <w:rFonts w:ascii="Merriweather" w:hAnsi="Merriweather" w:cs="Times New Roman"/>
              </w:rPr>
              <w:t xml:space="preserve"> </w:t>
            </w:r>
            <w:r w:rsidR="008A2253" w:rsidRPr="00B657E9">
              <w:rPr>
                <w:rFonts w:ascii="Merriweather" w:hAnsi="Merriweather" w:cs="Times New Roman"/>
              </w:rPr>
              <w:t>spring/summer</w:t>
            </w:r>
          </w:p>
        </w:tc>
      </w:tr>
      <w:tr w:rsidR="008A2253" w:rsidRPr="00B657E9" w:rsidTr="00361A30">
        <w:tc>
          <w:tcPr>
            <w:tcW w:w="2074" w:type="dxa"/>
            <w:tcBorders>
              <w:top w:val="single" w:sz="12" w:space="0" w:color="auto"/>
              <w:left w:val="single" w:sz="12" w:space="0" w:color="auto"/>
              <w:right w:val="single" w:sz="12" w:space="0" w:color="auto"/>
            </w:tcBorders>
          </w:tcPr>
          <w:p w:rsidR="008A2253" w:rsidRPr="00B657E9" w:rsidRDefault="008A2253" w:rsidP="008A2253">
            <w:pPr>
              <w:rPr>
                <w:rFonts w:ascii="Merriweather" w:hAnsi="Merriweather" w:cs="Times New Roman"/>
              </w:rPr>
            </w:pPr>
            <w:r w:rsidRPr="00B657E9">
              <w:rPr>
                <w:rFonts w:ascii="Merriweather" w:hAnsi="Merriweather" w:cs="Times New Roman"/>
              </w:rPr>
              <w:t xml:space="preserve">Teaching will be organized as </w:t>
            </w:r>
          </w:p>
        </w:tc>
        <w:tc>
          <w:tcPr>
            <w:tcW w:w="1120" w:type="dxa"/>
            <w:tcBorders>
              <w:top w:val="single" w:sz="12" w:space="0" w:color="auto"/>
              <w:left w:val="single" w:sz="12" w:space="0" w:color="auto"/>
            </w:tcBorders>
            <w:shd w:val="clear" w:color="auto" w:fill="auto"/>
            <w:vAlign w:val="center"/>
          </w:tcPr>
          <w:p w:rsidR="008A2253" w:rsidRPr="00B657E9" w:rsidRDefault="008A2253" w:rsidP="008A2253">
            <w:pPr>
              <w:rPr>
                <w:rFonts w:ascii="Merriweather" w:hAnsi="Merriweather" w:cs="Times New Roman"/>
              </w:rPr>
            </w:pPr>
            <w:r w:rsidRPr="00B657E9">
              <w:rPr>
                <w:rFonts w:ascii="Merriweather" w:hAnsi="Merriweather" w:cs="Times New Roman"/>
              </w:rPr>
              <w:t>Lectures</w:t>
            </w:r>
          </w:p>
        </w:tc>
        <w:tc>
          <w:tcPr>
            <w:tcW w:w="2159" w:type="dxa"/>
            <w:gridSpan w:val="4"/>
            <w:tcBorders>
              <w:top w:val="single" w:sz="12" w:space="0" w:color="auto"/>
              <w:right w:val="single" w:sz="12" w:space="0" w:color="auto"/>
            </w:tcBorders>
            <w:vAlign w:val="center"/>
          </w:tcPr>
          <w:p w:rsidR="008A2253" w:rsidRPr="00B657E9" w:rsidRDefault="00361A30" w:rsidP="00361A30">
            <w:pPr>
              <w:rPr>
                <w:rFonts w:ascii="Merriweather" w:hAnsi="Merriweather" w:cs="Times New Roman"/>
              </w:rPr>
            </w:pPr>
            <w:r w:rsidRPr="00B657E9">
              <w:rPr>
                <w:rFonts w:ascii="Times New Roman" w:hAnsi="Times New Roman" w:cs="Times New Roman"/>
              </w:rPr>
              <w:t>■</w:t>
            </w:r>
            <w:r w:rsidRPr="00B657E9">
              <w:rPr>
                <w:rFonts w:ascii="Merriweather" w:hAnsi="Merriweather" w:cs="Times New Roman"/>
              </w:rPr>
              <w:t xml:space="preserve"> </w:t>
            </w:r>
            <w:r w:rsidR="008A2253" w:rsidRPr="00B657E9">
              <w:rPr>
                <w:rFonts w:ascii="Merriweather" w:hAnsi="Merriweather" w:cs="Times New Roman"/>
              </w:rPr>
              <w:t xml:space="preserve"> </w:t>
            </w:r>
            <w:r w:rsidRPr="00B657E9">
              <w:rPr>
                <w:rFonts w:ascii="Merriweather" w:hAnsi="Merriweather" w:cs="Times New Roman"/>
              </w:rPr>
              <w:t xml:space="preserve">yes       </w:t>
            </w:r>
            <w:r w:rsidR="008A2253" w:rsidRPr="00B657E9">
              <w:rPr>
                <w:rFonts w:ascii="Merriweather" w:hAnsi="Merriweather" w:cs="Times New Roman"/>
              </w:rPr>
              <w:t xml:space="preserve">  </w:t>
            </w:r>
            <w:r w:rsidR="008A2253" w:rsidRPr="00B657E9">
              <w:rPr>
                <w:rFonts w:ascii="Times New Roman" w:hAnsi="Times New Roman" w:cs="Times New Roman"/>
              </w:rPr>
              <w:t>□</w:t>
            </w:r>
            <w:r w:rsidR="008A2253" w:rsidRPr="00B657E9">
              <w:rPr>
                <w:rFonts w:ascii="Merriweather" w:hAnsi="Merriweather" w:cs="Times New Roman"/>
              </w:rPr>
              <w:t xml:space="preserve"> no</w:t>
            </w:r>
          </w:p>
        </w:tc>
        <w:tc>
          <w:tcPr>
            <w:tcW w:w="1843" w:type="dxa"/>
            <w:gridSpan w:val="2"/>
            <w:tcBorders>
              <w:top w:val="single" w:sz="12" w:space="0" w:color="auto"/>
              <w:left w:val="single" w:sz="12" w:space="0" w:color="auto"/>
            </w:tcBorders>
            <w:shd w:val="clear" w:color="auto" w:fill="auto"/>
            <w:vAlign w:val="center"/>
          </w:tcPr>
          <w:p w:rsidR="008A2253" w:rsidRPr="00B657E9" w:rsidRDefault="008A2253" w:rsidP="008A2253">
            <w:pPr>
              <w:rPr>
                <w:rFonts w:ascii="Merriweather" w:hAnsi="Merriweather" w:cs="Times New Roman"/>
              </w:rPr>
            </w:pPr>
            <w:r w:rsidRPr="00B657E9">
              <w:rPr>
                <w:rFonts w:ascii="Merriweather" w:hAnsi="Merriweather" w:cs="Times New Roman"/>
              </w:rPr>
              <w:t>Consultations</w:t>
            </w:r>
          </w:p>
        </w:tc>
        <w:tc>
          <w:tcPr>
            <w:tcW w:w="2171" w:type="dxa"/>
            <w:gridSpan w:val="2"/>
            <w:tcBorders>
              <w:top w:val="single" w:sz="12" w:space="0" w:color="auto"/>
              <w:right w:val="single" w:sz="12" w:space="0" w:color="auto"/>
            </w:tcBorders>
            <w:vAlign w:val="center"/>
          </w:tcPr>
          <w:p w:rsidR="008A2253" w:rsidRPr="00B657E9" w:rsidRDefault="00361A30" w:rsidP="008A2253">
            <w:pPr>
              <w:rPr>
                <w:rFonts w:ascii="Merriweather" w:hAnsi="Merriweather" w:cs="Times New Roman"/>
              </w:rPr>
            </w:pPr>
            <w:r w:rsidRPr="00B657E9">
              <w:rPr>
                <w:rFonts w:ascii="Times New Roman" w:hAnsi="Times New Roman" w:cs="Times New Roman"/>
              </w:rPr>
              <w:t>■</w:t>
            </w:r>
            <w:r w:rsidR="008A2253" w:rsidRPr="00B657E9">
              <w:rPr>
                <w:rFonts w:ascii="Merriweather" w:hAnsi="Merriweather" w:cs="Times New Roman"/>
              </w:rPr>
              <w:t xml:space="preserve"> yes          </w:t>
            </w:r>
            <w:r w:rsidR="008A2253" w:rsidRPr="00B657E9">
              <w:rPr>
                <w:rFonts w:ascii="Times New Roman" w:hAnsi="Times New Roman" w:cs="Times New Roman"/>
              </w:rPr>
              <w:t>□</w:t>
            </w:r>
            <w:r w:rsidR="008A2253" w:rsidRPr="00B657E9">
              <w:rPr>
                <w:rFonts w:ascii="Merriweather" w:hAnsi="Merriweather" w:cs="Times New Roman"/>
              </w:rPr>
              <w:t xml:space="preserve"> no</w:t>
            </w:r>
          </w:p>
        </w:tc>
      </w:tr>
      <w:tr w:rsidR="008A2253" w:rsidRPr="00B657E9" w:rsidTr="008A2253">
        <w:trPr>
          <w:trHeight w:val="278"/>
        </w:trPr>
        <w:tc>
          <w:tcPr>
            <w:tcW w:w="2074" w:type="dxa"/>
            <w:vMerge w:val="restart"/>
            <w:tcBorders>
              <w:left w:val="single" w:sz="12" w:space="0" w:color="auto"/>
              <w:right w:val="single" w:sz="12" w:space="0" w:color="auto"/>
            </w:tcBorders>
          </w:tcPr>
          <w:p w:rsidR="008A2253" w:rsidRPr="00B657E9" w:rsidRDefault="008A2253" w:rsidP="008A2253">
            <w:pPr>
              <w:rPr>
                <w:rFonts w:ascii="Merriweather" w:hAnsi="Merriweather" w:cs="Times New Roman"/>
              </w:rPr>
            </w:pPr>
            <w:r w:rsidRPr="00B657E9">
              <w:rPr>
                <w:rFonts w:ascii="Merriweather" w:hAnsi="Merriweather" w:cs="Times New Roman"/>
              </w:rPr>
              <w:t>The courses will be organized as</w:t>
            </w:r>
          </w:p>
        </w:tc>
        <w:tc>
          <w:tcPr>
            <w:tcW w:w="2333" w:type="dxa"/>
            <w:gridSpan w:val="3"/>
            <w:tcBorders>
              <w:left w:val="single" w:sz="12" w:space="0" w:color="auto"/>
              <w:right w:val="single" w:sz="12" w:space="0" w:color="auto"/>
            </w:tcBorders>
            <w:vAlign w:val="center"/>
          </w:tcPr>
          <w:p w:rsidR="008A2253" w:rsidRPr="00B657E9" w:rsidRDefault="008A2253" w:rsidP="008A2253">
            <w:pPr>
              <w:rPr>
                <w:rFonts w:ascii="Merriweather" w:hAnsi="Merriweather" w:cs="Times New Roman"/>
              </w:rPr>
            </w:pPr>
            <w:r w:rsidRPr="00B657E9">
              <w:rPr>
                <w:rFonts w:ascii="Merriweather" w:hAnsi="Merriweather" w:cs="Times New Roman"/>
              </w:rPr>
              <w:t>Lectures</w:t>
            </w:r>
          </w:p>
        </w:tc>
        <w:tc>
          <w:tcPr>
            <w:tcW w:w="3041" w:type="dxa"/>
            <w:gridSpan w:val="5"/>
            <w:tcBorders>
              <w:left w:val="single" w:sz="12" w:space="0" w:color="auto"/>
              <w:right w:val="single" w:sz="12" w:space="0" w:color="auto"/>
            </w:tcBorders>
          </w:tcPr>
          <w:p w:rsidR="008A2253" w:rsidRPr="00B657E9" w:rsidRDefault="008A2253" w:rsidP="008A2253">
            <w:pPr>
              <w:rPr>
                <w:rFonts w:ascii="Merriweather" w:hAnsi="Merriweather" w:cs="Times New Roman"/>
              </w:rPr>
            </w:pPr>
            <w:r w:rsidRPr="00B657E9">
              <w:rPr>
                <w:rFonts w:ascii="Merriweather" w:hAnsi="Merriweather" w:cs="Times New Roman"/>
              </w:rPr>
              <w:t>Seminars</w:t>
            </w:r>
          </w:p>
        </w:tc>
        <w:tc>
          <w:tcPr>
            <w:tcW w:w="1919" w:type="dxa"/>
            <w:tcBorders>
              <w:left w:val="single" w:sz="12" w:space="0" w:color="auto"/>
              <w:right w:val="single" w:sz="12" w:space="0" w:color="auto"/>
            </w:tcBorders>
          </w:tcPr>
          <w:p w:rsidR="008A2253" w:rsidRPr="00B657E9" w:rsidRDefault="008A2253" w:rsidP="008A2253">
            <w:pPr>
              <w:rPr>
                <w:rFonts w:ascii="Merriweather" w:hAnsi="Merriweather" w:cs="Times New Roman"/>
              </w:rPr>
            </w:pPr>
            <w:r w:rsidRPr="00B657E9">
              <w:rPr>
                <w:rFonts w:ascii="Merriweather" w:hAnsi="Merriweather" w:cs="Times New Roman"/>
              </w:rPr>
              <w:t>Exercises</w:t>
            </w:r>
          </w:p>
        </w:tc>
      </w:tr>
      <w:tr w:rsidR="008A2253" w:rsidRPr="00B657E9" w:rsidTr="008A2253">
        <w:trPr>
          <w:trHeight w:val="277"/>
        </w:trPr>
        <w:tc>
          <w:tcPr>
            <w:tcW w:w="2074" w:type="dxa"/>
            <w:vMerge/>
            <w:tcBorders>
              <w:left w:val="single" w:sz="12" w:space="0" w:color="auto"/>
              <w:bottom w:val="single" w:sz="12" w:space="0" w:color="auto"/>
              <w:right w:val="single" w:sz="12" w:space="0" w:color="auto"/>
            </w:tcBorders>
          </w:tcPr>
          <w:p w:rsidR="008A2253" w:rsidRPr="00B657E9" w:rsidRDefault="008A2253" w:rsidP="008A2253">
            <w:pPr>
              <w:rPr>
                <w:rFonts w:ascii="Merriweather" w:hAnsi="Merriweather" w:cs="Times New Roman"/>
              </w:rPr>
            </w:pPr>
          </w:p>
        </w:tc>
        <w:tc>
          <w:tcPr>
            <w:tcW w:w="2333" w:type="dxa"/>
            <w:gridSpan w:val="3"/>
            <w:tcBorders>
              <w:left w:val="single" w:sz="12" w:space="0" w:color="auto"/>
              <w:bottom w:val="single" w:sz="12" w:space="0" w:color="auto"/>
              <w:right w:val="single" w:sz="12" w:space="0" w:color="auto"/>
            </w:tcBorders>
            <w:vAlign w:val="center"/>
          </w:tcPr>
          <w:p w:rsidR="008A2253" w:rsidRPr="00B657E9" w:rsidRDefault="008A2253" w:rsidP="008A2253">
            <w:pPr>
              <w:rPr>
                <w:rFonts w:ascii="Merriweather" w:hAnsi="Merriweather" w:cs="Times New Roman"/>
              </w:rPr>
            </w:pPr>
            <w:r w:rsidRPr="00B657E9">
              <w:rPr>
                <w:rFonts w:ascii="Times New Roman" w:hAnsi="Times New Roman" w:cs="Times New Roman"/>
              </w:rPr>
              <w:t>■</w:t>
            </w:r>
            <w:r w:rsidRPr="00B657E9">
              <w:rPr>
                <w:rFonts w:ascii="Merriweather" w:hAnsi="Merriweather" w:cs="Times New Roman"/>
              </w:rPr>
              <w:t xml:space="preserve">  yes          </w:t>
            </w:r>
            <w:r w:rsidRPr="00B657E9">
              <w:rPr>
                <w:rFonts w:ascii="Times New Roman" w:hAnsi="Times New Roman" w:cs="Times New Roman"/>
              </w:rPr>
              <w:t>□</w:t>
            </w:r>
            <w:r w:rsidRPr="00B657E9">
              <w:rPr>
                <w:rFonts w:ascii="Merriweather" w:hAnsi="Merriweather" w:cs="Times New Roman"/>
              </w:rPr>
              <w:t xml:space="preserve"> no</w:t>
            </w:r>
          </w:p>
        </w:tc>
        <w:tc>
          <w:tcPr>
            <w:tcW w:w="3041" w:type="dxa"/>
            <w:gridSpan w:val="5"/>
            <w:tcBorders>
              <w:left w:val="single" w:sz="12" w:space="0" w:color="auto"/>
              <w:bottom w:val="single" w:sz="12" w:space="0" w:color="auto"/>
              <w:right w:val="single" w:sz="12" w:space="0" w:color="auto"/>
            </w:tcBorders>
            <w:vAlign w:val="center"/>
          </w:tcPr>
          <w:p w:rsidR="008A2253" w:rsidRPr="00B657E9" w:rsidRDefault="008A2253" w:rsidP="008A2253">
            <w:pPr>
              <w:rPr>
                <w:rFonts w:ascii="Merriweather" w:hAnsi="Merriweather" w:cs="Times New Roman"/>
              </w:rPr>
            </w:pPr>
            <w:r w:rsidRPr="00B657E9">
              <w:rPr>
                <w:rFonts w:ascii="Times New Roman" w:hAnsi="Times New Roman" w:cs="Times New Roman"/>
              </w:rPr>
              <w:t>■</w:t>
            </w:r>
            <w:r w:rsidRPr="00B657E9">
              <w:rPr>
                <w:rFonts w:ascii="Merriweather" w:hAnsi="Merriweather" w:cs="Times New Roman"/>
              </w:rPr>
              <w:t xml:space="preserve">  yes          </w:t>
            </w:r>
            <w:r w:rsidRPr="00B657E9">
              <w:rPr>
                <w:rFonts w:ascii="Times New Roman" w:hAnsi="Times New Roman" w:cs="Times New Roman"/>
              </w:rPr>
              <w:t>□</w:t>
            </w:r>
            <w:r w:rsidRPr="00B657E9">
              <w:rPr>
                <w:rFonts w:ascii="Merriweather" w:hAnsi="Merriweather" w:cs="Times New Roman"/>
              </w:rPr>
              <w:t xml:space="preserve"> no</w:t>
            </w:r>
          </w:p>
        </w:tc>
        <w:tc>
          <w:tcPr>
            <w:tcW w:w="1919" w:type="dxa"/>
            <w:tcBorders>
              <w:left w:val="single" w:sz="12" w:space="0" w:color="auto"/>
              <w:right w:val="single" w:sz="12" w:space="0" w:color="auto"/>
            </w:tcBorders>
            <w:vAlign w:val="center"/>
          </w:tcPr>
          <w:p w:rsidR="008A2253" w:rsidRPr="00B657E9" w:rsidRDefault="008A2253" w:rsidP="008A2253">
            <w:pPr>
              <w:rPr>
                <w:rFonts w:ascii="Merriweather" w:hAnsi="Merriweather" w:cs="Times New Roman"/>
              </w:rPr>
            </w:pPr>
            <w:r w:rsidRPr="00B657E9">
              <w:rPr>
                <w:rFonts w:ascii="Times New Roman" w:hAnsi="Times New Roman" w:cs="Times New Roman"/>
              </w:rPr>
              <w:t>□</w:t>
            </w:r>
            <w:r w:rsidRPr="00B657E9">
              <w:rPr>
                <w:rFonts w:ascii="Merriweather" w:hAnsi="Merriweather" w:cs="Times New Roman"/>
              </w:rPr>
              <w:t xml:space="preserve"> yes   </w:t>
            </w:r>
            <w:r w:rsidRPr="00B657E9">
              <w:rPr>
                <w:rFonts w:ascii="Times New Roman" w:hAnsi="Times New Roman" w:cs="Times New Roman"/>
              </w:rPr>
              <w:t>■</w:t>
            </w:r>
            <w:r w:rsidRPr="00B657E9">
              <w:rPr>
                <w:rFonts w:ascii="Merriweather" w:hAnsi="Merriweather" w:cs="Times New Roman"/>
              </w:rPr>
              <w:t xml:space="preserve"> no</w:t>
            </w:r>
          </w:p>
        </w:tc>
      </w:tr>
      <w:tr w:rsidR="008A2253" w:rsidRPr="00B657E9" w:rsidTr="008A2253">
        <w:tc>
          <w:tcPr>
            <w:tcW w:w="2074" w:type="dxa"/>
            <w:tcBorders>
              <w:top w:val="single" w:sz="12" w:space="0" w:color="auto"/>
              <w:left w:val="single" w:sz="12" w:space="0" w:color="auto"/>
              <w:bottom w:val="single" w:sz="12" w:space="0" w:color="auto"/>
              <w:right w:val="single" w:sz="12" w:space="0" w:color="auto"/>
            </w:tcBorders>
          </w:tcPr>
          <w:p w:rsidR="008A2253" w:rsidRPr="00B657E9" w:rsidRDefault="008A2253" w:rsidP="008A2253">
            <w:pPr>
              <w:rPr>
                <w:rFonts w:ascii="Merriweather" w:hAnsi="Merriweather" w:cs="Times New Roman"/>
              </w:rPr>
            </w:pPr>
            <w:r w:rsidRPr="00B657E9">
              <w:rPr>
                <w:rFonts w:ascii="Merriweather" w:hAnsi="Merriweather" w:cs="Times New Roman"/>
              </w:rPr>
              <w:t>Description of the course</w:t>
            </w:r>
          </w:p>
        </w:tc>
        <w:tc>
          <w:tcPr>
            <w:tcW w:w="7293" w:type="dxa"/>
            <w:gridSpan w:val="9"/>
            <w:tcBorders>
              <w:top w:val="single" w:sz="12" w:space="0" w:color="auto"/>
              <w:left w:val="single" w:sz="12" w:space="0" w:color="auto"/>
              <w:bottom w:val="single" w:sz="12" w:space="0" w:color="auto"/>
              <w:right w:val="single" w:sz="12" w:space="0" w:color="auto"/>
            </w:tcBorders>
          </w:tcPr>
          <w:p w:rsidR="008A2253" w:rsidRPr="00B657E9" w:rsidRDefault="008A2253" w:rsidP="008A2253">
            <w:pPr>
              <w:jc w:val="both"/>
              <w:rPr>
                <w:rFonts w:ascii="Merriweather" w:hAnsi="Merriweather" w:cs="Times New Roman"/>
              </w:rPr>
            </w:pPr>
            <w:r w:rsidRPr="00B657E9">
              <w:rPr>
                <w:rFonts w:ascii="Merriweather" w:hAnsi="Merriweather" w:cs="Times New Roman"/>
                <w:lang w:val="en-GB"/>
              </w:rPr>
              <w:t xml:space="preserve">The course presents the appearance and development of amphorae from the Late Bronze Age through the Early Middle Ages, and their importance for the study of the maritime trade in Mediterranean during various periods of human past. It explains the typology of amphorae, the production process, the dating issues, the content and the distribution of various types. The special attention </w:t>
            </w:r>
            <w:proofErr w:type="gramStart"/>
            <w:r w:rsidRPr="00B657E9">
              <w:rPr>
                <w:rFonts w:ascii="Merriweather" w:hAnsi="Merriweather" w:cs="Times New Roman"/>
                <w:lang w:val="en-GB"/>
              </w:rPr>
              <w:t>is paid</w:t>
            </w:r>
            <w:proofErr w:type="gramEnd"/>
            <w:r w:rsidRPr="00B657E9">
              <w:rPr>
                <w:rFonts w:ascii="Merriweather" w:hAnsi="Merriweather" w:cs="Times New Roman"/>
                <w:lang w:val="en-GB"/>
              </w:rPr>
              <w:t xml:space="preserve"> to the underwater amphorae finds, often found in the Greek and Roman shipwreck contexts, as the most valuable indicators of the maritime trade, and the common seafaring routes.</w:t>
            </w:r>
          </w:p>
        </w:tc>
      </w:tr>
      <w:tr w:rsidR="008A2253" w:rsidRPr="00B657E9" w:rsidTr="008A2253">
        <w:tc>
          <w:tcPr>
            <w:tcW w:w="2074" w:type="dxa"/>
            <w:tcBorders>
              <w:top w:val="single" w:sz="12" w:space="0" w:color="auto"/>
              <w:left w:val="single" w:sz="12" w:space="0" w:color="auto"/>
              <w:bottom w:val="single" w:sz="12" w:space="0" w:color="auto"/>
              <w:right w:val="single" w:sz="12" w:space="0" w:color="auto"/>
            </w:tcBorders>
          </w:tcPr>
          <w:p w:rsidR="008A2253" w:rsidRPr="00B657E9" w:rsidRDefault="008A2253" w:rsidP="008A2253">
            <w:pPr>
              <w:rPr>
                <w:rFonts w:ascii="Merriweather" w:hAnsi="Merriweather" w:cs="Times New Roman"/>
              </w:rPr>
            </w:pPr>
            <w:r w:rsidRPr="00B657E9">
              <w:rPr>
                <w:rFonts w:ascii="Merriweather" w:hAnsi="Merriweather" w:cs="Times New Roman"/>
              </w:rPr>
              <w:t>Learning outcomes of the course</w:t>
            </w:r>
          </w:p>
        </w:tc>
        <w:tc>
          <w:tcPr>
            <w:tcW w:w="7293" w:type="dxa"/>
            <w:gridSpan w:val="9"/>
            <w:tcBorders>
              <w:top w:val="single" w:sz="12" w:space="0" w:color="auto"/>
              <w:left w:val="single" w:sz="12" w:space="0" w:color="auto"/>
              <w:bottom w:val="single" w:sz="12" w:space="0" w:color="auto"/>
              <w:right w:val="single" w:sz="12" w:space="0" w:color="auto"/>
            </w:tcBorders>
          </w:tcPr>
          <w:p w:rsidR="008A2253" w:rsidRPr="00B657E9" w:rsidRDefault="008A2253" w:rsidP="008A2253">
            <w:pPr>
              <w:jc w:val="both"/>
              <w:rPr>
                <w:rFonts w:ascii="Merriweather" w:hAnsi="Merriweather" w:cs="Times New Roman"/>
                <w:lang w:val="en-GB"/>
              </w:rPr>
            </w:pPr>
            <w:r w:rsidRPr="00B657E9">
              <w:rPr>
                <w:rFonts w:ascii="Merriweather" w:hAnsi="Merriweather" w:cs="Times New Roman"/>
                <w:lang w:val="en-GB"/>
              </w:rPr>
              <w:t>Students will:</w:t>
            </w:r>
          </w:p>
          <w:p w:rsidR="008A2253" w:rsidRPr="00B657E9" w:rsidRDefault="008A2253" w:rsidP="008A2253">
            <w:pPr>
              <w:pStyle w:val="Odlomakpopisa"/>
              <w:numPr>
                <w:ilvl w:val="0"/>
                <w:numId w:val="1"/>
              </w:numPr>
              <w:jc w:val="both"/>
              <w:rPr>
                <w:rFonts w:ascii="Merriweather" w:hAnsi="Merriweather" w:cs="Times New Roman"/>
                <w:lang w:val="en-GB"/>
              </w:rPr>
            </w:pPr>
            <w:r w:rsidRPr="00B657E9">
              <w:rPr>
                <w:rFonts w:ascii="Merriweather" w:hAnsi="Merriweather" w:cs="Times New Roman"/>
                <w:lang w:val="en-GB"/>
              </w:rPr>
              <w:t>know the principles of the amphorae typology, the historical development of the typological studies and the main typologies used in the current archaeological research;</w:t>
            </w:r>
          </w:p>
          <w:p w:rsidR="008A2253" w:rsidRPr="00B657E9" w:rsidRDefault="008A2253" w:rsidP="008A2253">
            <w:pPr>
              <w:pStyle w:val="Odlomakpopisa"/>
              <w:numPr>
                <w:ilvl w:val="0"/>
                <w:numId w:val="1"/>
              </w:numPr>
              <w:jc w:val="both"/>
              <w:rPr>
                <w:rFonts w:ascii="Merriweather" w:hAnsi="Merriweather" w:cs="Times New Roman"/>
                <w:lang w:val="en-GB"/>
              </w:rPr>
            </w:pPr>
            <w:r w:rsidRPr="00B657E9">
              <w:rPr>
                <w:rFonts w:ascii="Merriweather" w:hAnsi="Merriweather" w:cs="Times New Roman"/>
                <w:lang w:val="en-GB"/>
              </w:rPr>
              <w:t xml:space="preserve">be able to recognize various types of amphorae, their provenance and chronological determination, and the workshops for their production; </w:t>
            </w:r>
          </w:p>
          <w:p w:rsidR="008A2253" w:rsidRPr="00B657E9" w:rsidRDefault="008A2253" w:rsidP="008A2253">
            <w:pPr>
              <w:pStyle w:val="Odlomakpopisa"/>
              <w:numPr>
                <w:ilvl w:val="0"/>
                <w:numId w:val="1"/>
              </w:numPr>
              <w:jc w:val="both"/>
              <w:rPr>
                <w:rFonts w:ascii="Merriweather" w:hAnsi="Merriweather" w:cs="Times New Roman"/>
                <w:lang w:val="en-GB"/>
              </w:rPr>
            </w:pPr>
            <w:r w:rsidRPr="00B657E9">
              <w:rPr>
                <w:rFonts w:ascii="Merriweather" w:hAnsi="Merriweather" w:cs="Times New Roman"/>
                <w:lang w:val="en-GB"/>
              </w:rPr>
              <w:t>know the chronology of the evolution of amphorae types, from the Late Bronze Age to the Early Middle Ages;</w:t>
            </w:r>
          </w:p>
          <w:p w:rsidR="008A2253" w:rsidRPr="00B657E9" w:rsidRDefault="008A2253" w:rsidP="008A2253">
            <w:pPr>
              <w:pStyle w:val="Odlomakpopisa"/>
              <w:numPr>
                <w:ilvl w:val="0"/>
                <w:numId w:val="1"/>
              </w:numPr>
              <w:jc w:val="both"/>
              <w:rPr>
                <w:rFonts w:ascii="Merriweather" w:hAnsi="Merriweather" w:cs="Times New Roman"/>
                <w:lang w:val="en-GB"/>
              </w:rPr>
            </w:pPr>
            <w:r w:rsidRPr="00B657E9">
              <w:rPr>
                <w:rFonts w:ascii="Merriweather" w:hAnsi="Merriweather" w:cs="Times New Roman"/>
                <w:lang w:val="en-GB"/>
              </w:rPr>
              <w:t>recognize the importance of the systematic research of the production and distribution of amphorae for the understanding of ancient economy in Europe and Mediterranean;</w:t>
            </w:r>
          </w:p>
          <w:p w:rsidR="008A2253" w:rsidRPr="00B657E9" w:rsidRDefault="008A2253" w:rsidP="008A2253">
            <w:pPr>
              <w:pStyle w:val="Odlomakpopisa"/>
              <w:numPr>
                <w:ilvl w:val="0"/>
                <w:numId w:val="1"/>
              </w:numPr>
              <w:jc w:val="both"/>
              <w:rPr>
                <w:rFonts w:ascii="Merriweather" w:hAnsi="Merriweather" w:cs="Times New Roman"/>
                <w:lang w:val="en-GB"/>
              </w:rPr>
            </w:pPr>
            <w:proofErr w:type="gramStart"/>
            <w:r w:rsidRPr="00B657E9">
              <w:rPr>
                <w:rFonts w:ascii="Merriweather" w:hAnsi="Merriweather" w:cs="Times New Roman"/>
                <w:lang w:val="en-GB"/>
              </w:rPr>
              <w:t>be</w:t>
            </w:r>
            <w:proofErr w:type="gramEnd"/>
            <w:r w:rsidRPr="00B657E9">
              <w:rPr>
                <w:rFonts w:ascii="Merriweather" w:hAnsi="Merriweather" w:cs="Times New Roman"/>
                <w:lang w:val="en-GB"/>
              </w:rPr>
              <w:t xml:space="preserve"> able to describe and explain the dynamics of maritime trade in ancient Mediterranean, observed through amphorae finds.</w:t>
            </w:r>
          </w:p>
        </w:tc>
      </w:tr>
      <w:tr w:rsidR="008A2253" w:rsidRPr="00B657E9" w:rsidTr="00361A30">
        <w:trPr>
          <w:trHeight w:val="144"/>
        </w:trPr>
        <w:tc>
          <w:tcPr>
            <w:tcW w:w="2074" w:type="dxa"/>
            <w:vMerge w:val="restart"/>
            <w:tcBorders>
              <w:top w:val="single" w:sz="12" w:space="0" w:color="auto"/>
              <w:left w:val="single" w:sz="12" w:space="0" w:color="auto"/>
              <w:right w:val="single" w:sz="12" w:space="0" w:color="auto"/>
            </w:tcBorders>
          </w:tcPr>
          <w:p w:rsidR="008A2253" w:rsidRPr="00B657E9" w:rsidRDefault="008A2253" w:rsidP="008A2253">
            <w:pPr>
              <w:rPr>
                <w:rFonts w:ascii="Merriweather" w:hAnsi="Merriweather" w:cs="Times New Roman"/>
              </w:rPr>
            </w:pPr>
            <w:r w:rsidRPr="00B657E9">
              <w:rPr>
                <w:rFonts w:ascii="Merriweather" w:hAnsi="Merriweather" w:cs="Times New Roman"/>
              </w:rPr>
              <w:t>The course is offered to</w:t>
            </w:r>
          </w:p>
        </w:tc>
        <w:tc>
          <w:tcPr>
            <w:tcW w:w="4347" w:type="dxa"/>
            <w:gridSpan w:val="6"/>
            <w:tcBorders>
              <w:top w:val="single" w:sz="12" w:space="0" w:color="auto"/>
              <w:left w:val="single" w:sz="12" w:space="0" w:color="auto"/>
              <w:bottom w:val="single" w:sz="12" w:space="0" w:color="auto"/>
            </w:tcBorders>
            <w:shd w:val="clear" w:color="auto" w:fill="auto"/>
          </w:tcPr>
          <w:p w:rsidR="008A2253" w:rsidRPr="00B657E9" w:rsidRDefault="008A2253" w:rsidP="008A2253">
            <w:pPr>
              <w:rPr>
                <w:rFonts w:ascii="Merriweather" w:hAnsi="Merriweather" w:cs="Times New Roman"/>
              </w:rPr>
            </w:pPr>
            <w:r w:rsidRPr="00B657E9">
              <w:rPr>
                <w:rFonts w:ascii="Merriweather" w:hAnsi="Merriweather" w:cs="Times New Roman"/>
              </w:rPr>
              <w:t xml:space="preserve">Incoming students who choose the above department as a home department </w:t>
            </w:r>
          </w:p>
        </w:tc>
        <w:tc>
          <w:tcPr>
            <w:tcW w:w="2946" w:type="dxa"/>
            <w:gridSpan w:val="3"/>
            <w:tcBorders>
              <w:top w:val="single" w:sz="12" w:space="0" w:color="auto"/>
              <w:bottom w:val="single" w:sz="12" w:space="0" w:color="auto"/>
              <w:right w:val="single" w:sz="12" w:space="0" w:color="auto"/>
            </w:tcBorders>
            <w:vAlign w:val="center"/>
          </w:tcPr>
          <w:p w:rsidR="008A2253" w:rsidRPr="00B657E9" w:rsidRDefault="00361A30" w:rsidP="008A2253">
            <w:pPr>
              <w:ind w:left="415"/>
              <w:rPr>
                <w:rFonts w:ascii="Merriweather" w:hAnsi="Merriweather" w:cs="Times New Roman"/>
              </w:rPr>
            </w:pPr>
            <w:r w:rsidRPr="00B657E9">
              <w:rPr>
                <w:rFonts w:ascii="Times New Roman" w:hAnsi="Times New Roman" w:cs="Times New Roman"/>
              </w:rPr>
              <w:t>■</w:t>
            </w:r>
            <w:r w:rsidR="008A2253" w:rsidRPr="00B657E9">
              <w:rPr>
                <w:rFonts w:ascii="Merriweather" w:hAnsi="Merriweather" w:cs="Times New Roman"/>
              </w:rPr>
              <w:t xml:space="preserve"> yes      </w:t>
            </w:r>
            <w:r w:rsidR="008A2253" w:rsidRPr="00B657E9">
              <w:rPr>
                <w:rFonts w:ascii="Times New Roman" w:hAnsi="Times New Roman" w:cs="Times New Roman"/>
              </w:rPr>
              <w:t>□</w:t>
            </w:r>
            <w:r w:rsidR="008A2253" w:rsidRPr="00B657E9">
              <w:rPr>
                <w:rFonts w:ascii="Merriweather" w:hAnsi="Merriweather" w:cs="Times New Roman"/>
              </w:rPr>
              <w:t xml:space="preserve"> no</w:t>
            </w:r>
          </w:p>
        </w:tc>
      </w:tr>
      <w:tr w:rsidR="008A2253" w:rsidRPr="00B657E9" w:rsidTr="00361A30">
        <w:trPr>
          <w:trHeight w:val="142"/>
        </w:trPr>
        <w:tc>
          <w:tcPr>
            <w:tcW w:w="2074" w:type="dxa"/>
            <w:vMerge/>
            <w:tcBorders>
              <w:left w:val="single" w:sz="12" w:space="0" w:color="auto"/>
              <w:right w:val="single" w:sz="12" w:space="0" w:color="auto"/>
            </w:tcBorders>
          </w:tcPr>
          <w:p w:rsidR="008A2253" w:rsidRPr="00B657E9" w:rsidRDefault="008A2253" w:rsidP="008A2253">
            <w:pPr>
              <w:rPr>
                <w:rFonts w:ascii="Merriweather" w:hAnsi="Merriweather" w:cs="Times New Roman"/>
              </w:rPr>
            </w:pPr>
          </w:p>
        </w:tc>
        <w:tc>
          <w:tcPr>
            <w:tcW w:w="4347" w:type="dxa"/>
            <w:gridSpan w:val="6"/>
            <w:tcBorders>
              <w:top w:val="single" w:sz="12" w:space="0" w:color="auto"/>
              <w:left w:val="single" w:sz="12" w:space="0" w:color="auto"/>
              <w:bottom w:val="single" w:sz="12" w:space="0" w:color="auto"/>
            </w:tcBorders>
            <w:shd w:val="clear" w:color="auto" w:fill="auto"/>
          </w:tcPr>
          <w:p w:rsidR="008A2253" w:rsidRPr="00B657E9" w:rsidRDefault="008A2253" w:rsidP="008A2253">
            <w:pPr>
              <w:rPr>
                <w:rFonts w:ascii="Merriweather" w:hAnsi="Merriweather" w:cs="Times New Roman"/>
              </w:rPr>
            </w:pPr>
            <w:r w:rsidRPr="00B657E9">
              <w:rPr>
                <w:rFonts w:ascii="Merriweather" w:hAnsi="Merriweather" w:cs="Times New Roman"/>
              </w:rPr>
              <w:t>All the incoming students</w:t>
            </w:r>
          </w:p>
        </w:tc>
        <w:tc>
          <w:tcPr>
            <w:tcW w:w="2946" w:type="dxa"/>
            <w:gridSpan w:val="3"/>
            <w:tcBorders>
              <w:top w:val="single" w:sz="12" w:space="0" w:color="auto"/>
              <w:bottom w:val="single" w:sz="12" w:space="0" w:color="auto"/>
              <w:right w:val="single" w:sz="12" w:space="0" w:color="auto"/>
            </w:tcBorders>
            <w:vAlign w:val="center"/>
          </w:tcPr>
          <w:p w:rsidR="008A2253" w:rsidRPr="00B657E9" w:rsidRDefault="00361A30" w:rsidP="008A2253">
            <w:pPr>
              <w:ind w:left="415"/>
              <w:rPr>
                <w:rFonts w:ascii="Merriweather" w:hAnsi="Merriweather" w:cs="Times New Roman"/>
              </w:rPr>
            </w:pPr>
            <w:r w:rsidRPr="00B657E9">
              <w:rPr>
                <w:rFonts w:ascii="Times New Roman" w:hAnsi="Times New Roman" w:cs="Times New Roman"/>
              </w:rPr>
              <w:t>■</w:t>
            </w:r>
            <w:r w:rsidR="008A2253" w:rsidRPr="00B657E9">
              <w:rPr>
                <w:rFonts w:ascii="Merriweather" w:hAnsi="Merriweather" w:cs="Times New Roman"/>
              </w:rPr>
              <w:t xml:space="preserve"> yes      </w:t>
            </w:r>
            <w:r w:rsidR="008A2253" w:rsidRPr="00B657E9">
              <w:rPr>
                <w:rFonts w:ascii="Times New Roman" w:hAnsi="Times New Roman" w:cs="Times New Roman"/>
              </w:rPr>
              <w:t>□</w:t>
            </w:r>
            <w:r w:rsidR="008A2253" w:rsidRPr="00B657E9">
              <w:rPr>
                <w:rFonts w:ascii="Merriweather" w:hAnsi="Merriweather" w:cs="Times New Roman"/>
              </w:rPr>
              <w:t xml:space="preserve"> no</w:t>
            </w:r>
          </w:p>
        </w:tc>
      </w:tr>
      <w:tr w:rsidR="008A2253" w:rsidRPr="00B657E9" w:rsidTr="00361A30">
        <w:trPr>
          <w:trHeight w:val="142"/>
        </w:trPr>
        <w:tc>
          <w:tcPr>
            <w:tcW w:w="2074" w:type="dxa"/>
            <w:vMerge/>
            <w:tcBorders>
              <w:left w:val="single" w:sz="12" w:space="0" w:color="auto"/>
              <w:right w:val="single" w:sz="12" w:space="0" w:color="auto"/>
            </w:tcBorders>
          </w:tcPr>
          <w:p w:rsidR="008A2253" w:rsidRPr="00B657E9" w:rsidRDefault="008A2253" w:rsidP="008A2253">
            <w:pPr>
              <w:rPr>
                <w:rFonts w:ascii="Merriweather" w:hAnsi="Merriweather" w:cs="Times New Roman"/>
              </w:rPr>
            </w:pPr>
          </w:p>
        </w:tc>
        <w:tc>
          <w:tcPr>
            <w:tcW w:w="4347" w:type="dxa"/>
            <w:gridSpan w:val="6"/>
            <w:tcBorders>
              <w:top w:val="single" w:sz="12" w:space="0" w:color="auto"/>
              <w:left w:val="single" w:sz="12" w:space="0" w:color="auto"/>
              <w:bottom w:val="single" w:sz="12" w:space="0" w:color="auto"/>
            </w:tcBorders>
            <w:shd w:val="clear" w:color="auto" w:fill="auto"/>
          </w:tcPr>
          <w:p w:rsidR="008A2253" w:rsidRPr="00B657E9" w:rsidRDefault="008A2253" w:rsidP="008A2253">
            <w:pPr>
              <w:rPr>
                <w:rFonts w:ascii="Merriweather" w:hAnsi="Merriweather" w:cs="Times New Roman"/>
              </w:rPr>
            </w:pPr>
            <w:r w:rsidRPr="00B657E9">
              <w:rPr>
                <w:rFonts w:ascii="Merriweather" w:hAnsi="Merriweather" w:cs="Times New Roman"/>
              </w:rPr>
              <w:t>Students of the University of Zadar enrolled at the above department as an elective course</w:t>
            </w:r>
          </w:p>
        </w:tc>
        <w:tc>
          <w:tcPr>
            <w:tcW w:w="2946" w:type="dxa"/>
            <w:gridSpan w:val="3"/>
            <w:tcBorders>
              <w:top w:val="single" w:sz="12" w:space="0" w:color="auto"/>
              <w:bottom w:val="single" w:sz="12" w:space="0" w:color="auto"/>
              <w:right w:val="single" w:sz="12" w:space="0" w:color="auto"/>
            </w:tcBorders>
            <w:vAlign w:val="center"/>
          </w:tcPr>
          <w:p w:rsidR="008A2253" w:rsidRPr="00B657E9" w:rsidRDefault="00361A30" w:rsidP="008A2253">
            <w:pPr>
              <w:ind w:left="415"/>
              <w:rPr>
                <w:rFonts w:ascii="Merriweather" w:hAnsi="Merriweather" w:cs="Times New Roman"/>
              </w:rPr>
            </w:pPr>
            <w:r w:rsidRPr="00B657E9">
              <w:rPr>
                <w:rFonts w:ascii="Times New Roman" w:hAnsi="Times New Roman" w:cs="Times New Roman"/>
              </w:rPr>
              <w:t>■</w:t>
            </w:r>
            <w:r w:rsidR="008A2253" w:rsidRPr="00B657E9">
              <w:rPr>
                <w:rFonts w:ascii="Merriweather" w:hAnsi="Merriweather" w:cs="Times New Roman"/>
              </w:rPr>
              <w:t xml:space="preserve"> yes      </w:t>
            </w:r>
            <w:r w:rsidR="008A2253" w:rsidRPr="00B657E9">
              <w:rPr>
                <w:rFonts w:ascii="Times New Roman" w:hAnsi="Times New Roman" w:cs="Times New Roman"/>
              </w:rPr>
              <w:t>□</w:t>
            </w:r>
            <w:r w:rsidR="008A2253" w:rsidRPr="00B657E9">
              <w:rPr>
                <w:rFonts w:ascii="Merriweather" w:hAnsi="Merriweather" w:cs="Times New Roman"/>
              </w:rPr>
              <w:t xml:space="preserve"> no</w:t>
            </w:r>
          </w:p>
        </w:tc>
      </w:tr>
      <w:tr w:rsidR="008A2253" w:rsidRPr="00B657E9" w:rsidTr="00361A30">
        <w:trPr>
          <w:trHeight w:val="142"/>
        </w:trPr>
        <w:tc>
          <w:tcPr>
            <w:tcW w:w="2074" w:type="dxa"/>
            <w:vMerge/>
            <w:tcBorders>
              <w:left w:val="single" w:sz="12" w:space="0" w:color="auto"/>
              <w:bottom w:val="single" w:sz="12" w:space="0" w:color="auto"/>
              <w:right w:val="single" w:sz="12" w:space="0" w:color="auto"/>
            </w:tcBorders>
          </w:tcPr>
          <w:p w:rsidR="008A2253" w:rsidRPr="00B657E9" w:rsidRDefault="008A2253" w:rsidP="008A2253">
            <w:pPr>
              <w:rPr>
                <w:rFonts w:ascii="Merriweather" w:hAnsi="Merriweather" w:cs="Times New Roman"/>
              </w:rPr>
            </w:pPr>
          </w:p>
        </w:tc>
        <w:tc>
          <w:tcPr>
            <w:tcW w:w="4347" w:type="dxa"/>
            <w:gridSpan w:val="6"/>
            <w:tcBorders>
              <w:top w:val="single" w:sz="12" w:space="0" w:color="auto"/>
              <w:left w:val="single" w:sz="12" w:space="0" w:color="auto"/>
              <w:bottom w:val="single" w:sz="12" w:space="0" w:color="auto"/>
            </w:tcBorders>
            <w:shd w:val="clear" w:color="auto" w:fill="auto"/>
          </w:tcPr>
          <w:p w:rsidR="008A2253" w:rsidRPr="00B657E9" w:rsidRDefault="008A2253" w:rsidP="008A2253">
            <w:pPr>
              <w:rPr>
                <w:rFonts w:ascii="Merriweather" w:hAnsi="Merriweather" w:cs="Times New Roman"/>
              </w:rPr>
            </w:pPr>
            <w:r w:rsidRPr="00B657E9">
              <w:rPr>
                <w:rFonts w:ascii="Merriweather" w:hAnsi="Merriweather" w:cs="Times New Roman"/>
              </w:rPr>
              <w:t>All the students of the University of Zadar as an elective course</w:t>
            </w:r>
          </w:p>
        </w:tc>
        <w:tc>
          <w:tcPr>
            <w:tcW w:w="2946" w:type="dxa"/>
            <w:gridSpan w:val="3"/>
            <w:tcBorders>
              <w:top w:val="single" w:sz="12" w:space="0" w:color="auto"/>
              <w:bottom w:val="single" w:sz="12" w:space="0" w:color="auto"/>
              <w:right w:val="single" w:sz="12" w:space="0" w:color="auto"/>
            </w:tcBorders>
            <w:vAlign w:val="center"/>
          </w:tcPr>
          <w:p w:rsidR="008A2253" w:rsidRPr="00B657E9" w:rsidRDefault="00361A30" w:rsidP="008A2253">
            <w:pPr>
              <w:ind w:left="415"/>
              <w:rPr>
                <w:rFonts w:ascii="Merriweather" w:hAnsi="Merriweather" w:cs="Times New Roman"/>
              </w:rPr>
            </w:pPr>
            <w:r w:rsidRPr="00B657E9">
              <w:rPr>
                <w:rFonts w:ascii="Times New Roman" w:hAnsi="Times New Roman" w:cs="Times New Roman"/>
              </w:rPr>
              <w:t>■</w:t>
            </w:r>
            <w:r w:rsidR="008A2253" w:rsidRPr="00B657E9">
              <w:rPr>
                <w:rFonts w:ascii="Merriweather" w:hAnsi="Merriweather" w:cs="Times New Roman"/>
              </w:rPr>
              <w:t xml:space="preserve"> yes      </w:t>
            </w:r>
            <w:r w:rsidR="008A2253" w:rsidRPr="00B657E9">
              <w:rPr>
                <w:rFonts w:ascii="Times New Roman" w:hAnsi="Times New Roman" w:cs="Times New Roman"/>
              </w:rPr>
              <w:t>□</w:t>
            </w:r>
            <w:r w:rsidR="008A2253" w:rsidRPr="00B657E9">
              <w:rPr>
                <w:rFonts w:ascii="Merriweather" w:hAnsi="Merriweather" w:cs="Times New Roman"/>
              </w:rPr>
              <w:t xml:space="preserve"> no</w:t>
            </w:r>
          </w:p>
        </w:tc>
      </w:tr>
    </w:tbl>
    <w:p w:rsidR="009461E7" w:rsidRPr="001911E3" w:rsidRDefault="005371AE" w:rsidP="004F670E">
      <w:pPr>
        <w:spacing w:after="0" w:line="240" w:lineRule="auto"/>
        <w:jc w:val="center"/>
        <w:rPr>
          <w:rFonts w:ascii="Times New Roman" w:hAnsi="Times New Roman" w:cs="Times New Roman"/>
          <w:sz w:val="24"/>
          <w:szCs w:val="24"/>
        </w:rPr>
      </w:pPr>
    </w:p>
    <w:sectPr w:rsidR="009461E7" w:rsidRPr="001911E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AE" w:rsidRDefault="005371AE" w:rsidP="00674FC8">
      <w:pPr>
        <w:spacing w:after="0" w:line="240" w:lineRule="auto"/>
      </w:pPr>
      <w:r>
        <w:separator/>
      </w:r>
    </w:p>
  </w:endnote>
  <w:endnote w:type="continuationSeparator" w:id="0">
    <w:p w:rsidR="005371AE" w:rsidRDefault="005371AE" w:rsidP="0067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panose1 w:val="00000500000000000000"/>
    <w:charset w:val="EE"/>
    <w:family w:val="auto"/>
    <w:pitch w:val="variable"/>
    <w:sig w:usb0="20000207" w:usb1="00000002"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AE" w:rsidRDefault="005371AE" w:rsidP="00674FC8">
      <w:pPr>
        <w:spacing w:after="0" w:line="240" w:lineRule="auto"/>
      </w:pPr>
      <w:r>
        <w:separator/>
      </w:r>
    </w:p>
  </w:footnote>
  <w:footnote w:type="continuationSeparator" w:id="0">
    <w:p w:rsidR="005371AE" w:rsidRDefault="005371AE" w:rsidP="00674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C8" w:rsidRPr="00B657E9" w:rsidRDefault="00674FC8" w:rsidP="00674FC8">
    <w:pPr>
      <w:pStyle w:val="Zaglavlje"/>
      <w:jc w:val="center"/>
      <w:rPr>
        <w:rFonts w:ascii="Merriweather" w:hAnsi="Merriweather" w:cs="Times New Roman"/>
      </w:rPr>
    </w:pPr>
    <w:r w:rsidRPr="00B657E9">
      <w:rPr>
        <w:rFonts w:ascii="Merriweather" w:hAnsi="Merriweather" w:cs="Times New Roman"/>
      </w:rPr>
      <w:t xml:space="preserve">COURSES OFFERED IN A </w:t>
    </w:r>
    <w:proofErr w:type="spellStart"/>
    <w:r w:rsidRPr="00B657E9">
      <w:rPr>
        <w:rFonts w:ascii="Merriweather" w:hAnsi="Merriweather" w:cs="Times New Roman"/>
      </w:rPr>
      <w:t>FOREIGN</w:t>
    </w:r>
    <w:proofErr w:type="spellEnd"/>
    <w:r w:rsidRPr="00B657E9">
      <w:rPr>
        <w:rFonts w:ascii="Merriweather" w:hAnsi="Merriweather" w:cs="Times New Roman"/>
      </w:rPr>
      <w:t xml:space="preserve"> </w:t>
    </w:r>
    <w:proofErr w:type="spellStart"/>
    <w:r w:rsidRPr="00B657E9">
      <w:rPr>
        <w:rFonts w:ascii="Merriweather" w:hAnsi="Merriweather" w:cs="Times New Roman"/>
      </w:rPr>
      <w:t>LA</w:t>
    </w:r>
    <w:r w:rsidR="00C0757B" w:rsidRPr="00B657E9">
      <w:rPr>
        <w:rFonts w:ascii="Merriweather" w:hAnsi="Merriweather" w:cs="Times New Roman"/>
      </w:rPr>
      <w:t>NGUAGE</w:t>
    </w:r>
    <w:proofErr w:type="spellEnd"/>
    <w:r w:rsidR="00C0757B" w:rsidRPr="00B657E9">
      <w:rPr>
        <w:rFonts w:ascii="Merriweather" w:hAnsi="Merriweather" w:cs="Times New Roman"/>
      </w:rPr>
      <w:t xml:space="preserve"> IN </w:t>
    </w:r>
    <w:proofErr w:type="spellStart"/>
    <w:r w:rsidR="00C0757B" w:rsidRPr="00B657E9">
      <w:rPr>
        <w:rFonts w:ascii="Merriweather" w:hAnsi="Merriweather" w:cs="Times New Roman"/>
      </w:rPr>
      <w:t>THE</w:t>
    </w:r>
    <w:proofErr w:type="spellEnd"/>
    <w:r w:rsidR="008641C3">
      <w:rPr>
        <w:rFonts w:ascii="Merriweather" w:hAnsi="Merriweather" w:cs="Times New Roman"/>
      </w:rPr>
      <w:t xml:space="preserve"> </w:t>
    </w:r>
    <w:proofErr w:type="spellStart"/>
    <w:r w:rsidR="008641C3">
      <w:rPr>
        <w:rFonts w:ascii="Merriweather" w:hAnsi="Merriweather" w:cs="Times New Roman"/>
      </w:rPr>
      <w:t>ACADEMIC</w:t>
    </w:r>
    <w:proofErr w:type="spellEnd"/>
    <w:r w:rsidR="008641C3">
      <w:rPr>
        <w:rFonts w:ascii="Merriweather" w:hAnsi="Merriweather" w:cs="Times New Roman"/>
      </w:rPr>
      <w:t xml:space="preserve"> </w:t>
    </w:r>
    <w:proofErr w:type="spellStart"/>
    <w:r w:rsidR="008641C3">
      <w:rPr>
        <w:rFonts w:ascii="Merriweather" w:hAnsi="Merriweather" w:cs="Times New Roman"/>
      </w:rPr>
      <w:t>YEAR</w:t>
    </w:r>
    <w:proofErr w:type="spellEnd"/>
    <w:r w:rsidR="008641C3">
      <w:rPr>
        <w:rFonts w:ascii="Merriweather" w:hAnsi="Merriweather" w:cs="Times New Roman"/>
      </w:rPr>
      <w:t xml:space="preserve"> </w:t>
    </w:r>
    <w:r w:rsidR="008178B7">
      <w:rPr>
        <w:rFonts w:ascii="Merriweather" w:hAnsi="Merriweather" w:cs="Times New Roman"/>
      </w:rPr>
      <w:t>2024/2025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F6A7E"/>
    <w:multiLevelType w:val="hybridMultilevel"/>
    <w:tmpl w:val="F712F7B0"/>
    <w:lvl w:ilvl="0" w:tplc="0882C8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EE"/>
    <w:rsid w:val="00005915"/>
    <w:rsid w:val="000151DE"/>
    <w:rsid w:val="001911E3"/>
    <w:rsid w:val="002339FB"/>
    <w:rsid w:val="002548F6"/>
    <w:rsid w:val="00334216"/>
    <w:rsid w:val="003568DE"/>
    <w:rsid w:val="00361A30"/>
    <w:rsid w:val="004064D2"/>
    <w:rsid w:val="00476229"/>
    <w:rsid w:val="004E1AAA"/>
    <w:rsid w:val="004F670E"/>
    <w:rsid w:val="005371AE"/>
    <w:rsid w:val="0055617B"/>
    <w:rsid w:val="005A3B16"/>
    <w:rsid w:val="005B0D7A"/>
    <w:rsid w:val="005B7647"/>
    <w:rsid w:val="00674FC8"/>
    <w:rsid w:val="006764CF"/>
    <w:rsid w:val="00692BCA"/>
    <w:rsid w:val="0069326E"/>
    <w:rsid w:val="006B3CED"/>
    <w:rsid w:val="006E5446"/>
    <w:rsid w:val="007036DB"/>
    <w:rsid w:val="008178B7"/>
    <w:rsid w:val="008641C3"/>
    <w:rsid w:val="008A2253"/>
    <w:rsid w:val="008F44B4"/>
    <w:rsid w:val="00A5066E"/>
    <w:rsid w:val="00AB037F"/>
    <w:rsid w:val="00AB43EE"/>
    <w:rsid w:val="00B657E9"/>
    <w:rsid w:val="00BE1834"/>
    <w:rsid w:val="00C0757B"/>
    <w:rsid w:val="00CF013B"/>
    <w:rsid w:val="00D87417"/>
    <w:rsid w:val="00DA4634"/>
    <w:rsid w:val="00E0196F"/>
    <w:rsid w:val="00E32135"/>
    <w:rsid w:val="00E576C1"/>
    <w:rsid w:val="00E63362"/>
    <w:rsid w:val="00EE6DA0"/>
    <w:rsid w:val="00F03B91"/>
    <w:rsid w:val="00F11EDD"/>
    <w:rsid w:val="00FB0F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C552"/>
  <w15:docId w15:val="{8C8A566C-8811-4B19-8CAE-6D26352A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B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674FC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74FC8"/>
  </w:style>
  <w:style w:type="paragraph" w:styleId="Podnoje">
    <w:name w:val="footer"/>
    <w:basedOn w:val="Normal"/>
    <w:link w:val="PodnojeChar"/>
    <w:uiPriority w:val="99"/>
    <w:unhideWhenUsed/>
    <w:rsid w:val="00674F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74FC8"/>
  </w:style>
  <w:style w:type="paragraph" w:styleId="Odlomakpopisa">
    <w:name w:val="List Paragraph"/>
    <w:basedOn w:val="Normal"/>
    <w:uiPriority w:val="34"/>
    <w:qFormat/>
    <w:rsid w:val="004E1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sstepano@unizd.hr</dc:creator>
  <cp:lastModifiedBy>Ana Surać</cp:lastModifiedBy>
  <cp:revision>2</cp:revision>
  <cp:lastPrinted>2016-01-28T08:45:00Z</cp:lastPrinted>
  <dcterms:created xsi:type="dcterms:W3CDTF">2024-05-22T08:06:00Z</dcterms:created>
  <dcterms:modified xsi:type="dcterms:W3CDTF">2024-05-22T08:06:00Z</dcterms:modified>
</cp:coreProperties>
</file>