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etkatablice"/>
        <w:tblpPr w:leftFromText="180" w:rightFromText="180" w:vertAnchor="page" w:horzAnchor="margin" w:tblpY="1831"/>
        <w:tblW w:w="9464" w:type="dxa"/>
        <w:tblLook w:val="04A0" w:firstRow="1" w:lastRow="0" w:firstColumn="1" w:lastColumn="0" w:noHBand="0" w:noVBand="1"/>
      </w:tblPr>
      <w:tblGrid>
        <w:gridCol w:w="2005"/>
        <w:gridCol w:w="1149"/>
        <w:gridCol w:w="599"/>
        <w:gridCol w:w="527"/>
        <w:gridCol w:w="798"/>
        <w:gridCol w:w="133"/>
        <w:gridCol w:w="1068"/>
        <w:gridCol w:w="761"/>
        <w:gridCol w:w="246"/>
        <w:gridCol w:w="255"/>
        <w:gridCol w:w="1923"/>
      </w:tblGrid>
      <w:tr w:rsidR="00FC3F5B" w:rsidRPr="00B2346E" w:rsidTr="00600D27">
        <w:trPr>
          <w:trHeight w:val="397"/>
        </w:trPr>
        <w:tc>
          <w:tcPr>
            <w:tcW w:w="2074" w:type="dxa"/>
            <w:tcBorders>
              <w:top w:val="single" w:sz="12" w:space="0" w:color="auto"/>
              <w:left w:val="single" w:sz="12" w:space="0" w:color="auto"/>
              <w:bottom w:val="single" w:sz="12" w:space="0" w:color="auto"/>
              <w:right w:val="single" w:sz="12" w:space="0" w:color="auto"/>
            </w:tcBorders>
          </w:tcPr>
          <w:p w:rsidR="00FC3F5B" w:rsidRPr="00B2346E" w:rsidRDefault="00FC3F5B" w:rsidP="00B2346E">
            <w:pPr>
              <w:jc w:val="center"/>
              <w:rPr>
                <w:rFonts w:ascii="Merriweather" w:hAnsi="Merriweather" w:cs="Times New Roman"/>
              </w:rPr>
            </w:pPr>
            <w:r w:rsidRPr="00B2346E">
              <w:rPr>
                <w:rFonts w:ascii="Merriweather" w:hAnsi="Merriweather" w:cs="Times New Roman"/>
              </w:rPr>
              <w:t xml:space="preserve">Department </w:t>
            </w:r>
          </w:p>
        </w:tc>
        <w:tc>
          <w:tcPr>
            <w:tcW w:w="7390" w:type="dxa"/>
            <w:gridSpan w:val="10"/>
            <w:tcBorders>
              <w:top w:val="single" w:sz="12" w:space="0" w:color="auto"/>
              <w:left w:val="single" w:sz="12" w:space="0" w:color="auto"/>
              <w:bottom w:val="single" w:sz="12" w:space="0" w:color="auto"/>
              <w:right w:val="single" w:sz="12" w:space="0" w:color="auto"/>
            </w:tcBorders>
          </w:tcPr>
          <w:p w:rsidR="00FC3F5B" w:rsidRPr="00B2346E" w:rsidRDefault="00FC3F5B" w:rsidP="00FC3F5B">
            <w:pPr>
              <w:jc w:val="center"/>
              <w:rPr>
                <w:rFonts w:ascii="Merriweather" w:hAnsi="Merriweather" w:cs="Times New Roman"/>
              </w:rPr>
            </w:pPr>
            <w:r w:rsidRPr="00B2346E">
              <w:rPr>
                <w:rFonts w:ascii="Merriweather" w:hAnsi="Merriweather" w:cs="Times New Roman"/>
                <w:lang w:val="en-GB"/>
              </w:rPr>
              <w:t>Department of archaeology</w:t>
            </w:r>
          </w:p>
        </w:tc>
      </w:tr>
      <w:tr w:rsidR="00FC3F5B" w:rsidRPr="00B2346E" w:rsidTr="00600D27">
        <w:trPr>
          <w:trHeight w:val="660"/>
        </w:trPr>
        <w:tc>
          <w:tcPr>
            <w:tcW w:w="9464" w:type="dxa"/>
            <w:gridSpan w:val="11"/>
            <w:tcBorders>
              <w:left w:val="single" w:sz="12" w:space="0" w:color="auto"/>
              <w:bottom w:val="single" w:sz="12" w:space="0" w:color="auto"/>
              <w:right w:val="single" w:sz="12" w:space="0" w:color="auto"/>
            </w:tcBorders>
          </w:tcPr>
          <w:p w:rsidR="00FC3F5B" w:rsidRPr="00B2346E" w:rsidRDefault="00FC3F5B" w:rsidP="00FC3F5B">
            <w:pPr>
              <w:jc w:val="center"/>
              <w:rPr>
                <w:rFonts w:ascii="Merriweather" w:hAnsi="Merriweather" w:cs="Times New Roman"/>
              </w:rPr>
            </w:pPr>
          </w:p>
          <w:p w:rsidR="00FC3F5B" w:rsidRPr="00B2346E" w:rsidRDefault="00FC3F5B" w:rsidP="00B2346E">
            <w:pPr>
              <w:jc w:val="center"/>
              <w:rPr>
                <w:rFonts w:ascii="Merriweather" w:hAnsi="Merriweather" w:cs="Times New Roman"/>
              </w:rPr>
            </w:pPr>
            <w:proofErr w:type="spellStart"/>
            <w:r w:rsidRPr="00B2346E">
              <w:rPr>
                <w:rFonts w:ascii="Merriweather" w:hAnsi="Merriweather" w:cs="Times New Roman"/>
              </w:rPr>
              <w:t>Description</w:t>
            </w:r>
            <w:proofErr w:type="spellEnd"/>
            <w:r w:rsidRPr="00B2346E">
              <w:rPr>
                <w:rFonts w:ascii="Merriweather" w:hAnsi="Merriweather" w:cs="Times New Roman"/>
              </w:rPr>
              <w:t xml:space="preserve"> </w:t>
            </w:r>
            <w:proofErr w:type="spellStart"/>
            <w:r w:rsidRPr="00B2346E">
              <w:rPr>
                <w:rFonts w:ascii="Merriweather" w:hAnsi="Merriweather" w:cs="Times New Roman"/>
              </w:rPr>
              <w:t>of</w:t>
            </w:r>
            <w:proofErr w:type="spellEnd"/>
            <w:r w:rsidRPr="00B2346E">
              <w:rPr>
                <w:rFonts w:ascii="Merriweather" w:hAnsi="Merriweather" w:cs="Times New Roman"/>
              </w:rPr>
              <w:t xml:space="preserve"> </w:t>
            </w:r>
            <w:proofErr w:type="spellStart"/>
            <w:r w:rsidRPr="00B2346E">
              <w:rPr>
                <w:rFonts w:ascii="Merriweather" w:hAnsi="Merriweather" w:cs="Times New Roman"/>
              </w:rPr>
              <w:t>the</w:t>
            </w:r>
            <w:proofErr w:type="spellEnd"/>
            <w:r w:rsidRPr="00B2346E">
              <w:rPr>
                <w:rFonts w:ascii="Merriweather" w:hAnsi="Merriweather" w:cs="Times New Roman"/>
              </w:rPr>
              <w:t xml:space="preserve"> </w:t>
            </w:r>
            <w:proofErr w:type="spellStart"/>
            <w:r w:rsidRPr="00B2346E">
              <w:rPr>
                <w:rFonts w:ascii="Merriweather" w:hAnsi="Merriweather" w:cs="Times New Roman"/>
              </w:rPr>
              <w:t>courses</w:t>
            </w:r>
            <w:proofErr w:type="spellEnd"/>
            <w:r w:rsidRPr="00B2346E">
              <w:rPr>
                <w:rFonts w:ascii="Merriweather" w:hAnsi="Merriweather" w:cs="Times New Roman"/>
              </w:rPr>
              <w:t xml:space="preserve"> </w:t>
            </w:r>
            <w:proofErr w:type="spellStart"/>
            <w:r w:rsidRPr="00B2346E">
              <w:rPr>
                <w:rFonts w:ascii="Merriweather" w:hAnsi="Merriweather" w:cs="Times New Roman"/>
              </w:rPr>
              <w:t>offered</w:t>
            </w:r>
            <w:proofErr w:type="spellEnd"/>
            <w:r w:rsidRPr="00B2346E">
              <w:rPr>
                <w:rFonts w:ascii="Merriweather" w:hAnsi="Merriweather" w:cs="Times New Roman"/>
              </w:rPr>
              <w:t xml:space="preserve"> </w:t>
            </w:r>
            <w:proofErr w:type="spellStart"/>
            <w:r w:rsidRPr="00B2346E">
              <w:rPr>
                <w:rFonts w:ascii="Merriweather" w:hAnsi="Merriweather" w:cs="Times New Roman"/>
              </w:rPr>
              <w:t>in</w:t>
            </w:r>
            <w:proofErr w:type="spellEnd"/>
            <w:r w:rsidRPr="00B2346E">
              <w:rPr>
                <w:rFonts w:ascii="Merriweather" w:hAnsi="Merriweather" w:cs="Times New Roman"/>
              </w:rPr>
              <w:t xml:space="preserve"> a </w:t>
            </w:r>
            <w:proofErr w:type="spellStart"/>
            <w:r w:rsidRPr="00B2346E">
              <w:rPr>
                <w:rFonts w:ascii="Merriweather" w:hAnsi="Merriweather" w:cs="Times New Roman"/>
              </w:rPr>
              <w:t>foreign</w:t>
            </w:r>
            <w:proofErr w:type="spellEnd"/>
            <w:r w:rsidRPr="00B2346E">
              <w:rPr>
                <w:rFonts w:ascii="Merriweather" w:hAnsi="Merriweather" w:cs="Times New Roman"/>
              </w:rPr>
              <w:t xml:space="preserve"> </w:t>
            </w:r>
            <w:proofErr w:type="spellStart"/>
            <w:r w:rsidRPr="00B2346E">
              <w:rPr>
                <w:rFonts w:ascii="Merriweather" w:hAnsi="Merriweather" w:cs="Times New Roman"/>
              </w:rPr>
              <w:t>language</w:t>
            </w:r>
            <w:proofErr w:type="spellEnd"/>
            <w:r w:rsidR="00D6316C" w:rsidRPr="00B2346E">
              <w:rPr>
                <w:rFonts w:ascii="Merriweather" w:hAnsi="Merriweather" w:cs="Times New Roman"/>
              </w:rPr>
              <w:t xml:space="preserve"> </w:t>
            </w:r>
            <w:proofErr w:type="spellStart"/>
            <w:r w:rsidR="00D6316C" w:rsidRPr="00B2346E">
              <w:rPr>
                <w:rFonts w:ascii="Merriweather" w:hAnsi="Merriweather" w:cs="Times New Roman"/>
              </w:rPr>
              <w:t>in</w:t>
            </w:r>
            <w:proofErr w:type="spellEnd"/>
            <w:r w:rsidR="00D6316C" w:rsidRPr="00B2346E">
              <w:rPr>
                <w:rFonts w:ascii="Merriweather" w:hAnsi="Merriweather" w:cs="Times New Roman"/>
              </w:rPr>
              <w:t xml:space="preserve"> </w:t>
            </w:r>
            <w:proofErr w:type="spellStart"/>
            <w:r w:rsidR="00D6316C" w:rsidRPr="00B2346E">
              <w:rPr>
                <w:rFonts w:ascii="Merriweather" w:hAnsi="Merriweather" w:cs="Times New Roman"/>
              </w:rPr>
              <w:t>the</w:t>
            </w:r>
            <w:proofErr w:type="spellEnd"/>
            <w:r w:rsidR="00D6316C" w:rsidRPr="00B2346E">
              <w:rPr>
                <w:rFonts w:ascii="Merriweather" w:hAnsi="Merriweather" w:cs="Times New Roman"/>
              </w:rPr>
              <w:t xml:space="preserve"> </w:t>
            </w:r>
            <w:proofErr w:type="spellStart"/>
            <w:r w:rsidR="00D6316C" w:rsidRPr="00B2346E">
              <w:rPr>
                <w:rFonts w:ascii="Merriweather" w:hAnsi="Merriweather" w:cs="Times New Roman"/>
              </w:rPr>
              <w:t>academic</w:t>
            </w:r>
            <w:proofErr w:type="spellEnd"/>
            <w:r w:rsidR="00D6316C" w:rsidRPr="00B2346E">
              <w:rPr>
                <w:rFonts w:ascii="Merriweather" w:hAnsi="Merriweather" w:cs="Times New Roman"/>
              </w:rPr>
              <w:t xml:space="preserve"> </w:t>
            </w:r>
            <w:proofErr w:type="spellStart"/>
            <w:r w:rsidR="00D6316C" w:rsidRPr="00B2346E">
              <w:rPr>
                <w:rFonts w:ascii="Merriweather" w:hAnsi="Merriweather" w:cs="Times New Roman"/>
              </w:rPr>
              <w:t>year</w:t>
            </w:r>
            <w:proofErr w:type="spellEnd"/>
            <w:r w:rsidR="00D6316C" w:rsidRPr="00B2346E">
              <w:rPr>
                <w:rFonts w:ascii="Merriweather" w:hAnsi="Merriweather" w:cs="Times New Roman"/>
              </w:rPr>
              <w:t xml:space="preserve"> </w:t>
            </w:r>
            <w:r w:rsidR="00AA535D">
              <w:rPr>
                <w:rFonts w:ascii="Merriweather" w:hAnsi="Merriweather" w:cs="Times New Roman"/>
              </w:rPr>
              <w:t>2024/2025</w:t>
            </w:r>
          </w:p>
        </w:tc>
      </w:tr>
      <w:tr w:rsidR="00FC3F5B" w:rsidRPr="00B2346E" w:rsidTr="00600D27">
        <w:tc>
          <w:tcPr>
            <w:tcW w:w="2074" w:type="dxa"/>
            <w:tcBorders>
              <w:top w:val="single" w:sz="12" w:space="0" w:color="auto"/>
              <w:left w:val="single" w:sz="12" w:space="0" w:color="auto"/>
              <w:bottom w:val="single" w:sz="12" w:space="0" w:color="auto"/>
              <w:right w:val="single" w:sz="12" w:space="0" w:color="auto"/>
            </w:tcBorders>
          </w:tcPr>
          <w:p w:rsidR="00FC3F5B" w:rsidRPr="00B2346E" w:rsidRDefault="00FC3F5B" w:rsidP="00FC3F5B">
            <w:pPr>
              <w:rPr>
                <w:rFonts w:ascii="Merriweather" w:hAnsi="Merriweather" w:cs="Times New Roman"/>
              </w:rPr>
            </w:pPr>
            <w:r w:rsidRPr="00B2346E">
              <w:rPr>
                <w:rFonts w:ascii="Merriweather" w:hAnsi="Merriweather" w:cs="Times New Roman"/>
              </w:rPr>
              <w:t>Name of the course</w:t>
            </w:r>
          </w:p>
        </w:tc>
        <w:tc>
          <w:tcPr>
            <w:tcW w:w="7390" w:type="dxa"/>
            <w:gridSpan w:val="10"/>
            <w:tcBorders>
              <w:top w:val="single" w:sz="12" w:space="0" w:color="auto"/>
              <w:left w:val="single" w:sz="12" w:space="0" w:color="auto"/>
              <w:bottom w:val="single" w:sz="12" w:space="0" w:color="auto"/>
              <w:right w:val="single" w:sz="12" w:space="0" w:color="auto"/>
            </w:tcBorders>
          </w:tcPr>
          <w:p w:rsidR="00FC3F5B" w:rsidRPr="00B2346E" w:rsidRDefault="00F5404C" w:rsidP="00FC3F5B">
            <w:pPr>
              <w:rPr>
                <w:rFonts w:ascii="Merriweather" w:hAnsi="Merriweather" w:cs="Times New Roman"/>
              </w:rPr>
            </w:pPr>
            <w:r w:rsidRPr="00B2346E">
              <w:rPr>
                <w:rFonts w:ascii="Merriweather" w:hAnsi="Merriweather" w:cs="Times New Roman"/>
                <w:lang w:val="en-GB"/>
              </w:rPr>
              <w:t>Underwater archaeology: methodology and techniques</w:t>
            </w:r>
          </w:p>
        </w:tc>
      </w:tr>
      <w:tr w:rsidR="00FC3F5B" w:rsidRPr="00B2346E" w:rsidTr="00600D27">
        <w:tc>
          <w:tcPr>
            <w:tcW w:w="2074" w:type="dxa"/>
            <w:tcBorders>
              <w:top w:val="single" w:sz="12" w:space="0" w:color="auto"/>
              <w:left w:val="single" w:sz="12" w:space="0" w:color="auto"/>
              <w:bottom w:val="single" w:sz="12" w:space="0" w:color="auto"/>
              <w:right w:val="single" w:sz="12" w:space="0" w:color="auto"/>
            </w:tcBorders>
          </w:tcPr>
          <w:p w:rsidR="00FC3F5B" w:rsidRPr="00B2346E" w:rsidRDefault="00FC3F5B" w:rsidP="00FC3F5B">
            <w:pPr>
              <w:rPr>
                <w:rFonts w:ascii="Merriweather" w:hAnsi="Merriweather" w:cs="Times New Roman"/>
              </w:rPr>
            </w:pPr>
            <w:r w:rsidRPr="00B2346E">
              <w:rPr>
                <w:rFonts w:ascii="Merriweather" w:hAnsi="Merriweather" w:cs="Times New Roman"/>
              </w:rPr>
              <w:t>Name of the teacher</w:t>
            </w:r>
          </w:p>
        </w:tc>
        <w:tc>
          <w:tcPr>
            <w:tcW w:w="7390" w:type="dxa"/>
            <w:gridSpan w:val="10"/>
            <w:tcBorders>
              <w:top w:val="single" w:sz="12" w:space="0" w:color="auto"/>
              <w:left w:val="single" w:sz="12" w:space="0" w:color="auto"/>
              <w:right w:val="single" w:sz="12" w:space="0" w:color="auto"/>
            </w:tcBorders>
          </w:tcPr>
          <w:p w:rsidR="00FC3F5B" w:rsidRPr="00B2346E" w:rsidRDefault="00D6316C" w:rsidP="0014771C">
            <w:pPr>
              <w:rPr>
                <w:rFonts w:ascii="Merriweather" w:hAnsi="Merriweather" w:cs="Times New Roman"/>
              </w:rPr>
            </w:pPr>
            <w:r w:rsidRPr="00B2346E">
              <w:rPr>
                <w:rFonts w:ascii="Merriweather" w:hAnsi="Merriweather" w:cs="Times New Roman"/>
              </w:rPr>
              <w:t>Assoc</w:t>
            </w:r>
            <w:r w:rsidR="00FC3F5B" w:rsidRPr="00B2346E">
              <w:rPr>
                <w:rFonts w:ascii="Merriweather" w:hAnsi="Merriweather" w:cs="Times New Roman"/>
              </w:rPr>
              <w:t>. Prof. Dr. I</w:t>
            </w:r>
            <w:bookmarkStart w:id="0" w:name="_GoBack"/>
            <w:bookmarkEnd w:id="0"/>
            <w:r w:rsidR="00FC3F5B" w:rsidRPr="00B2346E">
              <w:rPr>
                <w:rFonts w:ascii="Merriweather" w:hAnsi="Merriweather" w:cs="Times New Roman"/>
              </w:rPr>
              <w:t>rena Radić Rossi</w:t>
            </w:r>
          </w:p>
        </w:tc>
      </w:tr>
      <w:tr w:rsidR="00FC3F5B" w:rsidRPr="00B2346E" w:rsidTr="00600D27">
        <w:tc>
          <w:tcPr>
            <w:tcW w:w="2074" w:type="dxa"/>
            <w:tcBorders>
              <w:top w:val="single" w:sz="12" w:space="0" w:color="auto"/>
              <w:left w:val="single" w:sz="12" w:space="0" w:color="auto"/>
              <w:bottom w:val="single" w:sz="12" w:space="0" w:color="auto"/>
              <w:right w:val="single" w:sz="12" w:space="0" w:color="auto"/>
            </w:tcBorders>
          </w:tcPr>
          <w:p w:rsidR="00FC3F5B" w:rsidRPr="00B2346E" w:rsidRDefault="00FC3F5B" w:rsidP="00FC3F5B">
            <w:pPr>
              <w:rPr>
                <w:rFonts w:ascii="Merriweather" w:hAnsi="Merriweather" w:cs="Times New Roman"/>
              </w:rPr>
            </w:pPr>
            <w:r w:rsidRPr="00B2346E">
              <w:rPr>
                <w:rFonts w:ascii="Merriweather" w:hAnsi="Merriweather" w:cs="Times New Roman"/>
              </w:rPr>
              <w:t>Number of ECTS credits</w:t>
            </w:r>
          </w:p>
        </w:tc>
        <w:tc>
          <w:tcPr>
            <w:tcW w:w="1806" w:type="dxa"/>
            <w:gridSpan w:val="2"/>
            <w:tcBorders>
              <w:top w:val="single" w:sz="12" w:space="0" w:color="auto"/>
              <w:left w:val="single" w:sz="12" w:space="0" w:color="auto"/>
              <w:bottom w:val="single" w:sz="12" w:space="0" w:color="auto"/>
              <w:right w:val="single" w:sz="12" w:space="0" w:color="auto"/>
            </w:tcBorders>
          </w:tcPr>
          <w:p w:rsidR="00FC3F5B" w:rsidRPr="00B2346E" w:rsidRDefault="00FC3F5B" w:rsidP="00FC3F5B">
            <w:pPr>
              <w:jc w:val="center"/>
              <w:rPr>
                <w:rFonts w:ascii="Merriweather" w:hAnsi="Merriweather" w:cs="Times New Roman"/>
              </w:rPr>
            </w:pPr>
            <w:r w:rsidRPr="00B2346E">
              <w:rPr>
                <w:rFonts w:ascii="Merriweather" w:hAnsi="Merriweather" w:cs="Times New Roman"/>
              </w:rPr>
              <w:br/>
              <w:t>4</w:t>
            </w:r>
          </w:p>
        </w:tc>
        <w:tc>
          <w:tcPr>
            <w:tcW w:w="1340" w:type="dxa"/>
            <w:gridSpan w:val="2"/>
            <w:tcBorders>
              <w:top w:val="single" w:sz="12" w:space="0" w:color="auto"/>
              <w:left w:val="single" w:sz="12" w:space="0" w:color="auto"/>
              <w:bottom w:val="single" w:sz="12" w:space="0" w:color="auto"/>
            </w:tcBorders>
            <w:vAlign w:val="center"/>
          </w:tcPr>
          <w:p w:rsidR="00FC3F5B" w:rsidRPr="00B2346E" w:rsidRDefault="00FC3F5B" w:rsidP="00FC3F5B">
            <w:pPr>
              <w:rPr>
                <w:rFonts w:ascii="Merriweather" w:hAnsi="Merriweather" w:cs="Times New Roman"/>
              </w:rPr>
            </w:pPr>
            <w:r w:rsidRPr="00B2346E">
              <w:rPr>
                <w:rFonts w:ascii="Merriweather" w:hAnsi="Merriweather" w:cs="Times New Roman"/>
              </w:rPr>
              <w:t>Semester</w:t>
            </w:r>
          </w:p>
        </w:tc>
        <w:tc>
          <w:tcPr>
            <w:tcW w:w="2491" w:type="dxa"/>
            <w:gridSpan w:val="5"/>
            <w:tcBorders>
              <w:top w:val="single" w:sz="12" w:space="0" w:color="auto"/>
              <w:right w:val="single" w:sz="2" w:space="0" w:color="auto"/>
            </w:tcBorders>
          </w:tcPr>
          <w:p w:rsidR="00F5404C" w:rsidRPr="00B2346E" w:rsidRDefault="00F5404C" w:rsidP="00FC3F5B">
            <w:pPr>
              <w:rPr>
                <w:rFonts w:ascii="Merriweather" w:hAnsi="Merriweather" w:cs="Times New Roman"/>
              </w:rPr>
            </w:pPr>
            <w:r w:rsidRPr="00B2346E">
              <w:rPr>
                <w:rFonts w:ascii="Times New Roman" w:hAnsi="Times New Roman" w:cs="Times New Roman"/>
              </w:rPr>
              <w:t>□</w:t>
            </w:r>
          </w:p>
          <w:p w:rsidR="00FC3F5B" w:rsidRPr="00B2346E" w:rsidRDefault="00FC3F5B" w:rsidP="00FC3F5B">
            <w:pPr>
              <w:rPr>
                <w:rFonts w:ascii="Merriweather" w:hAnsi="Merriweather" w:cs="Times New Roman"/>
              </w:rPr>
            </w:pPr>
            <w:r w:rsidRPr="00B2346E">
              <w:rPr>
                <w:rFonts w:ascii="Merriweather" w:hAnsi="Merriweather" w:cs="Times New Roman"/>
              </w:rPr>
              <w:t>autumn/winter</w:t>
            </w:r>
          </w:p>
        </w:tc>
        <w:tc>
          <w:tcPr>
            <w:tcW w:w="1753" w:type="dxa"/>
            <w:tcBorders>
              <w:top w:val="single" w:sz="12" w:space="0" w:color="auto"/>
              <w:left w:val="single" w:sz="2" w:space="0" w:color="auto"/>
              <w:bottom w:val="single" w:sz="12" w:space="0" w:color="auto"/>
              <w:right w:val="single" w:sz="12" w:space="0" w:color="auto"/>
            </w:tcBorders>
          </w:tcPr>
          <w:p w:rsidR="00F5404C" w:rsidRPr="00B2346E" w:rsidRDefault="00F5404C" w:rsidP="00F5404C">
            <w:pPr>
              <w:rPr>
                <w:rFonts w:ascii="Merriweather" w:hAnsi="Merriweather" w:cs="Times New Roman"/>
              </w:rPr>
            </w:pPr>
            <w:r w:rsidRPr="00B2346E">
              <w:rPr>
                <w:rFonts w:ascii="Times New Roman" w:hAnsi="Times New Roman" w:cs="Times New Roman"/>
              </w:rPr>
              <w:t>■</w:t>
            </w:r>
          </w:p>
          <w:p w:rsidR="00FC3F5B" w:rsidRPr="00B2346E" w:rsidRDefault="00FC3F5B" w:rsidP="00FC3F5B">
            <w:pPr>
              <w:rPr>
                <w:rFonts w:ascii="Merriweather" w:hAnsi="Merriweather" w:cs="Times New Roman"/>
              </w:rPr>
            </w:pPr>
            <w:r w:rsidRPr="00B2346E">
              <w:rPr>
                <w:rFonts w:ascii="Merriweather" w:hAnsi="Merriweather" w:cs="Times New Roman"/>
              </w:rPr>
              <w:t>spring/summer</w:t>
            </w:r>
          </w:p>
        </w:tc>
      </w:tr>
      <w:tr w:rsidR="00FC3F5B" w:rsidRPr="00B2346E" w:rsidTr="00E35CD4">
        <w:tc>
          <w:tcPr>
            <w:tcW w:w="2074" w:type="dxa"/>
            <w:tcBorders>
              <w:top w:val="single" w:sz="12" w:space="0" w:color="auto"/>
              <w:left w:val="single" w:sz="12" w:space="0" w:color="auto"/>
              <w:right w:val="single" w:sz="12" w:space="0" w:color="auto"/>
            </w:tcBorders>
          </w:tcPr>
          <w:p w:rsidR="00FC3F5B" w:rsidRPr="00B2346E" w:rsidRDefault="00FC3F5B" w:rsidP="00FC3F5B">
            <w:pPr>
              <w:rPr>
                <w:rFonts w:ascii="Merriweather" w:hAnsi="Merriweather" w:cs="Times New Roman"/>
              </w:rPr>
            </w:pPr>
            <w:r w:rsidRPr="00B2346E">
              <w:rPr>
                <w:rFonts w:ascii="Merriweather" w:hAnsi="Merriweather" w:cs="Times New Roman"/>
              </w:rPr>
              <w:t xml:space="preserve">Teaching will be organized as </w:t>
            </w:r>
          </w:p>
        </w:tc>
        <w:tc>
          <w:tcPr>
            <w:tcW w:w="1120" w:type="dxa"/>
            <w:tcBorders>
              <w:top w:val="single" w:sz="12" w:space="0" w:color="auto"/>
              <w:left w:val="single" w:sz="12" w:space="0" w:color="auto"/>
            </w:tcBorders>
            <w:shd w:val="clear" w:color="auto" w:fill="FFFFFF" w:themeFill="background1"/>
            <w:vAlign w:val="center"/>
          </w:tcPr>
          <w:p w:rsidR="00FC3F5B" w:rsidRPr="00B2346E" w:rsidRDefault="00FC3F5B" w:rsidP="00FC3F5B">
            <w:pPr>
              <w:rPr>
                <w:rFonts w:ascii="Merriweather" w:hAnsi="Merriweather" w:cs="Times New Roman"/>
              </w:rPr>
            </w:pPr>
            <w:r w:rsidRPr="00B2346E">
              <w:rPr>
                <w:rFonts w:ascii="Merriweather" w:hAnsi="Merriweather" w:cs="Times New Roman"/>
              </w:rPr>
              <w:t>Lectures</w:t>
            </w:r>
          </w:p>
        </w:tc>
        <w:tc>
          <w:tcPr>
            <w:tcW w:w="2159" w:type="dxa"/>
            <w:gridSpan w:val="4"/>
            <w:tcBorders>
              <w:top w:val="single" w:sz="12" w:space="0" w:color="auto"/>
              <w:right w:val="single" w:sz="12" w:space="0" w:color="auto"/>
            </w:tcBorders>
            <w:vAlign w:val="center"/>
          </w:tcPr>
          <w:p w:rsidR="00FC3F5B" w:rsidRPr="00B2346E" w:rsidRDefault="00E35CD4" w:rsidP="00FC3F5B">
            <w:pPr>
              <w:rPr>
                <w:rFonts w:ascii="Merriweather" w:hAnsi="Merriweather" w:cs="Times New Roman"/>
              </w:rPr>
            </w:pPr>
            <w:r w:rsidRPr="00B2346E">
              <w:rPr>
                <w:rFonts w:ascii="Times New Roman" w:hAnsi="Times New Roman" w:cs="Times New Roman"/>
              </w:rPr>
              <w:t>■</w:t>
            </w:r>
            <w:r w:rsidR="00FC3F5B" w:rsidRPr="00B2346E">
              <w:rPr>
                <w:rFonts w:ascii="Merriweather" w:hAnsi="Merriweather" w:cs="Times New Roman"/>
              </w:rPr>
              <w:t xml:space="preserve"> yes          </w:t>
            </w:r>
            <w:r w:rsidR="00FC3F5B" w:rsidRPr="00B2346E">
              <w:rPr>
                <w:rFonts w:ascii="Times New Roman" w:hAnsi="Times New Roman" w:cs="Times New Roman"/>
              </w:rPr>
              <w:t>□</w:t>
            </w:r>
            <w:r w:rsidR="00FC3F5B" w:rsidRPr="00B2346E">
              <w:rPr>
                <w:rFonts w:ascii="Merriweather" w:hAnsi="Merriweather" w:cs="Times New Roman"/>
              </w:rPr>
              <w:t xml:space="preserve"> no</w:t>
            </w:r>
          </w:p>
        </w:tc>
        <w:tc>
          <w:tcPr>
            <w:tcW w:w="1843" w:type="dxa"/>
            <w:gridSpan w:val="2"/>
            <w:tcBorders>
              <w:top w:val="single" w:sz="12" w:space="0" w:color="auto"/>
              <w:left w:val="single" w:sz="12" w:space="0" w:color="auto"/>
            </w:tcBorders>
            <w:shd w:val="clear" w:color="auto" w:fill="FFFFFF" w:themeFill="background1"/>
            <w:vAlign w:val="center"/>
          </w:tcPr>
          <w:p w:rsidR="00FC3F5B" w:rsidRPr="00B2346E" w:rsidRDefault="00FC3F5B" w:rsidP="00FC3F5B">
            <w:pPr>
              <w:rPr>
                <w:rFonts w:ascii="Merriweather" w:hAnsi="Merriweather" w:cs="Times New Roman"/>
              </w:rPr>
            </w:pPr>
            <w:r w:rsidRPr="00B2346E">
              <w:rPr>
                <w:rFonts w:ascii="Merriweather" w:hAnsi="Merriweather" w:cs="Times New Roman"/>
              </w:rPr>
              <w:t>Consultations</w:t>
            </w:r>
          </w:p>
        </w:tc>
        <w:tc>
          <w:tcPr>
            <w:tcW w:w="2268" w:type="dxa"/>
            <w:gridSpan w:val="3"/>
            <w:tcBorders>
              <w:top w:val="single" w:sz="12" w:space="0" w:color="auto"/>
              <w:right w:val="single" w:sz="12" w:space="0" w:color="auto"/>
            </w:tcBorders>
            <w:vAlign w:val="center"/>
          </w:tcPr>
          <w:p w:rsidR="00FC3F5B" w:rsidRPr="00B2346E" w:rsidRDefault="00E35CD4" w:rsidP="00FC3F5B">
            <w:pPr>
              <w:rPr>
                <w:rFonts w:ascii="Merriweather" w:hAnsi="Merriweather" w:cs="Times New Roman"/>
              </w:rPr>
            </w:pPr>
            <w:r w:rsidRPr="00B2346E">
              <w:rPr>
                <w:rFonts w:ascii="Times New Roman" w:hAnsi="Times New Roman" w:cs="Times New Roman"/>
              </w:rPr>
              <w:t>■</w:t>
            </w:r>
            <w:r w:rsidR="00FC3F5B" w:rsidRPr="00B2346E">
              <w:rPr>
                <w:rFonts w:ascii="Merriweather" w:hAnsi="Merriweather" w:cs="Times New Roman"/>
              </w:rPr>
              <w:t xml:space="preserve"> yes          </w:t>
            </w:r>
            <w:r w:rsidR="00FC3F5B" w:rsidRPr="00B2346E">
              <w:rPr>
                <w:rFonts w:ascii="Times New Roman" w:hAnsi="Times New Roman" w:cs="Times New Roman"/>
              </w:rPr>
              <w:t>□</w:t>
            </w:r>
            <w:r w:rsidR="00FC3F5B" w:rsidRPr="00B2346E">
              <w:rPr>
                <w:rFonts w:ascii="Merriweather" w:hAnsi="Merriweather" w:cs="Times New Roman"/>
              </w:rPr>
              <w:t xml:space="preserve"> no</w:t>
            </w:r>
          </w:p>
        </w:tc>
      </w:tr>
      <w:tr w:rsidR="00FC3F5B" w:rsidRPr="00B2346E" w:rsidTr="00600D27">
        <w:trPr>
          <w:trHeight w:val="278"/>
        </w:trPr>
        <w:tc>
          <w:tcPr>
            <w:tcW w:w="2074" w:type="dxa"/>
            <w:vMerge w:val="restart"/>
            <w:tcBorders>
              <w:left w:val="single" w:sz="12" w:space="0" w:color="auto"/>
              <w:right w:val="single" w:sz="12" w:space="0" w:color="auto"/>
            </w:tcBorders>
          </w:tcPr>
          <w:p w:rsidR="00FC3F5B" w:rsidRPr="00B2346E" w:rsidRDefault="00FC3F5B" w:rsidP="00FC3F5B">
            <w:pPr>
              <w:rPr>
                <w:rFonts w:ascii="Merriweather" w:hAnsi="Merriweather" w:cs="Times New Roman"/>
              </w:rPr>
            </w:pPr>
            <w:r w:rsidRPr="00B2346E">
              <w:rPr>
                <w:rFonts w:ascii="Merriweather" w:hAnsi="Merriweather" w:cs="Times New Roman"/>
              </w:rPr>
              <w:t>The courses will be organized as</w:t>
            </w:r>
          </w:p>
        </w:tc>
        <w:tc>
          <w:tcPr>
            <w:tcW w:w="2333" w:type="dxa"/>
            <w:gridSpan w:val="3"/>
            <w:tcBorders>
              <w:left w:val="single" w:sz="12" w:space="0" w:color="auto"/>
              <w:right w:val="single" w:sz="12" w:space="0" w:color="auto"/>
            </w:tcBorders>
            <w:vAlign w:val="center"/>
          </w:tcPr>
          <w:p w:rsidR="00FC3F5B" w:rsidRPr="00B2346E" w:rsidRDefault="00FC3F5B" w:rsidP="00FC3F5B">
            <w:pPr>
              <w:rPr>
                <w:rFonts w:ascii="Merriweather" w:hAnsi="Merriweather" w:cs="Times New Roman"/>
              </w:rPr>
            </w:pPr>
            <w:r w:rsidRPr="00B2346E">
              <w:rPr>
                <w:rFonts w:ascii="Merriweather" w:hAnsi="Merriweather" w:cs="Times New Roman"/>
              </w:rPr>
              <w:t>Lectures</w:t>
            </w:r>
          </w:p>
        </w:tc>
        <w:tc>
          <w:tcPr>
            <w:tcW w:w="3041" w:type="dxa"/>
            <w:gridSpan w:val="5"/>
            <w:tcBorders>
              <w:left w:val="single" w:sz="12" w:space="0" w:color="auto"/>
              <w:right w:val="single" w:sz="12" w:space="0" w:color="auto"/>
            </w:tcBorders>
          </w:tcPr>
          <w:p w:rsidR="00FC3F5B" w:rsidRPr="00B2346E" w:rsidRDefault="00FC3F5B" w:rsidP="00FC3F5B">
            <w:pPr>
              <w:rPr>
                <w:rFonts w:ascii="Merriweather" w:hAnsi="Merriweather" w:cs="Times New Roman"/>
              </w:rPr>
            </w:pPr>
            <w:r w:rsidRPr="00B2346E">
              <w:rPr>
                <w:rFonts w:ascii="Merriweather" w:hAnsi="Merriweather" w:cs="Times New Roman"/>
              </w:rPr>
              <w:t>Seminars</w:t>
            </w:r>
          </w:p>
        </w:tc>
        <w:tc>
          <w:tcPr>
            <w:tcW w:w="2016" w:type="dxa"/>
            <w:gridSpan w:val="2"/>
            <w:tcBorders>
              <w:left w:val="single" w:sz="12" w:space="0" w:color="auto"/>
              <w:right w:val="single" w:sz="12" w:space="0" w:color="auto"/>
            </w:tcBorders>
          </w:tcPr>
          <w:p w:rsidR="00FC3F5B" w:rsidRPr="00B2346E" w:rsidRDefault="00FC3F5B" w:rsidP="00FC3F5B">
            <w:pPr>
              <w:rPr>
                <w:rFonts w:ascii="Merriweather" w:hAnsi="Merriweather" w:cs="Times New Roman"/>
              </w:rPr>
            </w:pPr>
            <w:r w:rsidRPr="00B2346E">
              <w:rPr>
                <w:rFonts w:ascii="Merriweather" w:hAnsi="Merriweather" w:cs="Times New Roman"/>
              </w:rPr>
              <w:t>Exercises</w:t>
            </w:r>
          </w:p>
        </w:tc>
      </w:tr>
      <w:tr w:rsidR="00FC3F5B" w:rsidRPr="00B2346E" w:rsidTr="00600D27">
        <w:trPr>
          <w:trHeight w:val="277"/>
        </w:trPr>
        <w:tc>
          <w:tcPr>
            <w:tcW w:w="2074" w:type="dxa"/>
            <w:vMerge/>
            <w:tcBorders>
              <w:left w:val="single" w:sz="12" w:space="0" w:color="auto"/>
              <w:bottom w:val="single" w:sz="12" w:space="0" w:color="auto"/>
              <w:right w:val="single" w:sz="12" w:space="0" w:color="auto"/>
            </w:tcBorders>
          </w:tcPr>
          <w:p w:rsidR="00FC3F5B" w:rsidRPr="00B2346E" w:rsidRDefault="00FC3F5B" w:rsidP="00FC3F5B">
            <w:pPr>
              <w:rPr>
                <w:rFonts w:ascii="Merriweather" w:hAnsi="Merriweather" w:cs="Times New Roman"/>
              </w:rPr>
            </w:pPr>
          </w:p>
        </w:tc>
        <w:tc>
          <w:tcPr>
            <w:tcW w:w="2333" w:type="dxa"/>
            <w:gridSpan w:val="3"/>
            <w:tcBorders>
              <w:left w:val="single" w:sz="12" w:space="0" w:color="auto"/>
              <w:bottom w:val="single" w:sz="12" w:space="0" w:color="auto"/>
              <w:right w:val="single" w:sz="12" w:space="0" w:color="auto"/>
            </w:tcBorders>
            <w:vAlign w:val="center"/>
          </w:tcPr>
          <w:p w:rsidR="00FC3F5B" w:rsidRPr="00B2346E" w:rsidRDefault="00600D27" w:rsidP="00600D27">
            <w:pPr>
              <w:rPr>
                <w:rFonts w:ascii="Merriweather" w:hAnsi="Merriweather" w:cs="Times New Roman"/>
              </w:rPr>
            </w:pPr>
            <w:r w:rsidRPr="00B2346E">
              <w:rPr>
                <w:rFonts w:ascii="Times New Roman" w:hAnsi="Times New Roman" w:cs="Times New Roman"/>
              </w:rPr>
              <w:t>■</w:t>
            </w:r>
            <w:r w:rsidR="00FC3F5B" w:rsidRPr="00B2346E">
              <w:rPr>
                <w:rFonts w:ascii="Merriweather" w:hAnsi="Merriweather" w:cs="Times New Roman"/>
              </w:rPr>
              <w:t xml:space="preserve"> yes          </w:t>
            </w:r>
            <w:r w:rsidR="00FC3F5B" w:rsidRPr="00B2346E">
              <w:rPr>
                <w:rFonts w:ascii="Times New Roman" w:hAnsi="Times New Roman" w:cs="Times New Roman"/>
              </w:rPr>
              <w:t>□</w:t>
            </w:r>
            <w:r w:rsidR="00FC3F5B" w:rsidRPr="00B2346E">
              <w:rPr>
                <w:rFonts w:ascii="Merriweather" w:hAnsi="Merriweather" w:cs="Times New Roman"/>
              </w:rPr>
              <w:t xml:space="preserve"> no</w:t>
            </w:r>
          </w:p>
        </w:tc>
        <w:tc>
          <w:tcPr>
            <w:tcW w:w="3041" w:type="dxa"/>
            <w:gridSpan w:val="5"/>
            <w:tcBorders>
              <w:left w:val="single" w:sz="12" w:space="0" w:color="auto"/>
              <w:bottom w:val="single" w:sz="12" w:space="0" w:color="auto"/>
              <w:right w:val="single" w:sz="12" w:space="0" w:color="auto"/>
            </w:tcBorders>
            <w:vAlign w:val="center"/>
          </w:tcPr>
          <w:p w:rsidR="00FC3F5B" w:rsidRPr="00B2346E" w:rsidRDefault="00F5404C" w:rsidP="00600D27">
            <w:pPr>
              <w:rPr>
                <w:rFonts w:ascii="Merriweather" w:hAnsi="Merriweather" w:cs="Times New Roman"/>
              </w:rPr>
            </w:pPr>
            <w:r w:rsidRPr="00B2346E">
              <w:rPr>
                <w:rFonts w:ascii="Times New Roman" w:hAnsi="Times New Roman" w:cs="Times New Roman"/>
              </w:rPr>
              <w:t>□</w:t>
            </w:r>
            <w:r w:rsidRPr="00B2346E">
              <w:rPr>
                <w:rFonts w:ascii="Merriweather" w:hAnsi="Merriweather" w:cs="Times New Roman"/>
              </w:rPr>
              <w:t xml:space="preserve"> </w:t>
            </w:r>
            <w:r w:rsidR="00FC3F5B" w:rsidRPr="00B2346E">
              <w:rPr>
                <w:rFonts w:ascii="Merriweather" w:hAnsi="Merriweather" w:cs="Times New Roman"/>
              </w:rPr>
              <w:t xml:space="preserve">yes          </w:t>
            </w:r>
            <w:r w:rsidR="00FC3F5B" w:rsidRPr="00B2346E">
              <w:rPr>
                <w:rFonts w:ascii="Times New Roman" w:hAnsi="Times New Roman" w:cs="Times New Roman"/>
              </w:rPr>
              <w:t>□</w:t>
            </w:r>
            <w:r w:rsidR="00FC3F5B" w:rsidRPr="00B2346E">
              <w:rPr>
                <w:rFonts w:ascii="Merriweather" w:hAnsi="Merriweather" w:cs="Times New Roman"/>
              </w:rPr>
              <w:t xml:space="preserve"> no</w:t>
            </w:r>
          </w:p>
        </w:tc>
        <w:tc>
          <w:tcPr>
            <w:tcW w:w="2016" w:type="dxa"/>
            <w:gridSpan w:val="2"/>
            <w:tcBorders>
              <w:left w:val="single" w:sz="12" w:space="0" w:color="auto"/>
              <w:right w:val="single" w:sz="12" w:space="0" w:color="auto"/>
            </w:tcBorders>
            <w:vAlign w:val="center"/>
          </w:tcPr>
          <w:p w:rsidR="00FC3F5B" w:rsidRPr="00B2346E" w:rsidRDefault="00F5404C" w:rsidP="00FC3F5B">
            <w:pPr>
              <w:rPr>
                <w:rFonts w:ascii="Merriweather" w:hAnsi="Merriweather" w:cs="Times New Roman"/>
              </w:rPr>
            </w:pPr>
            <w:r w:rsidRPr="00B2346E">
              <w:rPr>
                <w:rFonts w:ascii="Times New Roman" w:hAnsi="Times New Roman" w:cs="Times New Roman"/>
              </w:rPr>
              <w:t>■</w:t>
            </w:r>
            <w:r w:rsidR="00FC3F5B" w:rsidRPr="00B2346E">
              <w:rPr>
                <w:rFonts w:ascii="Merriweather" w:hAnsi="Merriweather" w:cs="Times New Roman"/>
              </w:rPr>
              <w:t xml:space="preserve"> </w:t>
            </w:r>
            <w:r w:rsidR="00600D27" w:rsidRPr="00B2346E">
              <w:rPr>
                <w:rFonts w:ascii="Merriweather" w:hAnsi="Merriweather" w:cs="Times New Roman"/>
              </w:rPr>
              <w:t xml:space="preserve">yes     </w:t>
            </w:r>
            <w:r w:rsidR="00FC3F5B" w:rsidRPr="00B2346E">
              <w:rPr>
                <w:rFonts w:ascii="Merriweather" w:hAnsi="Merriweather" w:cs="Times New Roman"/>
              </w:rPr>
              <w:t xml:space="preserve"> </w:t>
            </w:r>
            <w:r w:rsidR="00FC3F5B" w:rsidRPr="00B2346E">
              <w:rPr>
                <w:rFonts w:ascii="Times New Roman" w:hAnsi="Times New Roman" w:cs="Times New Roman"/>
              </w:rPr>
              <w:t>□</w:t>
            </w:r>
            <w:r w:rsidR="00600D27" w:rsidRPr="00B2346E">
              <w:rPr>
                <w:rFonts w:ascii="Merriweather" w:hAnsi="Merriweather" w:cs="Times New Roman"/>
              </w:rPr>
              <w:t xml:space="preserve"> </w:t>
            </w:r>
            <w:r w:rsidR="00FC3F5B" w:rsidRPr="00B2346E">
              <w:rPr>
                <w:rFonts w:ascii="Merriweather" w:hAnsi="Merriweather" w:cs="Times New Roman"/>
              </w:rPr>
              <w:t>no</w:t>
            </w:r>
          </w:p>
        </w:tc>
      </w:tr>
      <w:tr w:rsidR="00FC3F5B" w:rsidRPr="00B2346E" w:rsidTr="00600D27">
        <w:tc>
          <w:tcPr>
            <w:tcW w:w="2074" w:type="dxa"/>
            <w:tcBorders>
              <w:top w:val="single" w:sz="12" w:space="0" w:color="auto"/>
              <w:left w:val="single" w:sz="12" w:space="0" w:color="auto"/>
              <w:bottom w:val="single" w:sz="12" w:space="0" w:color="auto"/>
              <w:right w:val="single" w:sz="12" w:space="0" w:color="auto"/>
            </w:tcBorders>
          </w:tcPr>
          <w:p w:rsidR="00FC3F5B" w:rsidRPr="00B2346E" w:rsidRDefault="00FC3F5B" w:rsidP="00FC3F5B">
            <w:pPr>
              <w:rPr>
                <w:rFonts w:ascii="Merriweather" w:hAnsi="Merriweather" w:cs="Times New Roman"/>
              </w:rPr>
            </w:pPr>
            <w:r w:rsidRPr="00B2346E">
              <w:rPr>
                <w:rFonts w:ascii="Merriweather" w:hAnsi="Merriweather" w:cs="Times New Roman"/>
              </w:rPr>
              <w:t>Description of the course</w:t>
            </w:r>
          </w:p>
        </w:tc>
        <w:tc>
          <w:tcPr>
            <w:tcW w:w="7390" w:type="dxa"/>
            <w:gridSpan w:val="10"/>
            <w:tcBorders>
              <w:top w:val="single" w:sz="12" w:space="0" w:color="auto"/>
              <w:left w:val="single" w:sz="12" w:space="0" w:color="auto"/>
              <w:bottom w:val="single" w:sz="12" w:space="0" w:color="auto"/>
              <w:right w:val="single" w:sz="12" w:space="0" w:color="auto"/>
            </w:tcBorders>
          </w:tcPr>
          <w:p w:rsidR="00FC3F5B" w:rsidRPr="00B2346E" w:rsidRDefault="00F5404C" w:rsidP="00600D27">
            <w:pPr>
              <w:jc w:val="both"/>
              <w:rPr>
                <w:rFonts w:ascii="Merriweather" w:hAnsi="Merriweather" w:cs="Times New Roman"/>
              </w:rPr>
            </w:pPr>
            <w:r w:rsidRPr="00B2346E">
              <w:rPr>
                <w:rFonts w:ascii="Merriweather" w:hAnsi="Merriweather" w:cs="Times New Roman"/>
                <w:lang w:val="en-GB"/>
              </w:rPr>
              <w:t xml:space="preserve">The course presents the methodology and techniques of the research of the archaeological sites found in the water, at different depths. It deals with the three large groups of underwater sites: 1) the sites in the coastal areas, 2) the sites reachable by the sport dives and 3) the sites at greater depths, which require the application of new technologies. Through the </w:t>
            </w:r>
            <w:proofErr w:type="spellStart"/>
            <w:r w:rsidRPr="00B2346E">
              <w:rPr>
                <w:rFonts w:ascii="Merriweather" w:hAnsi="Merriweather" w:cs="Times New Roman"/>
                <w:lang w:val="en-GB"/>
              </w:rPr>
              <w:t>Ppt</w:t>
            </w:r>
            <w:proofErr w:type="spellEnd"/>
            <w:r w:rsidRPr="00B2346E">
              <w:rPr>
                <w:rFonts w:ascii="Merriweather" w:hAnsi="Merriweather" w:cs="Times New Roman"/>
                <w:lang w:val="en-GB"/>
              </w:rPr>
              <w:t xml:space="preserve"> presentations and practical work, the students learn about the current possibilities and limitations in underwater archaeological research. Presented methodology and techniques are illustrated through a number of examples from Croatia and abroad. The course aims at preparing the students for the specific needs of the research and study of the underwater archaeological sites, realized either through the archaeological diving, or through the application of the sophisticated technical equipment.</w:t>
            </w:r>
          </w:p>
        </w:tc>
      </w:tr>
      <w:tr w:rsidR="00FC3F5B" w:rsidRPr="00B2346E" w:rsidTr="00F5404C">
        <w:trPr>
          <w:trHeight w:val="3119"/>
        </w:trPr>
        <w:tc>
          <w:tcPr>
            <w:tcW w:w="2074" w:type="dxa"/>
            <w:tcBorders>
              <w:top w:val="single" w:sz="12" w:space="0" w:color="auto"/>
              <w:left w:val="single" w:sz="12" w:space="0" w:color="auto"/>
              <w:bottom w:val="single" w:sz="12" w:space="0" w:color="auto"/>
              <w:right w:val="single" w:sz="12" w:space="0" w:color="auto"/>
            </w:tcBorders>
          </w:tcPr>
          <w:p w:rsidR="00FC3F5B" w:rsidRPr="00B2346E" w:rsidRDefault="00FC3F5B" w:rsidP="00FC3F5B">
            <w:pPr>
              <w:rPr>
                <w:rFonts w:ascii="Merriweather" w:hAnsi="Merriweather" w:cs="Times New Roman"/>
              </w:rPr>
            </w:pPr>
            <w:r w:rsidRPr="00B2346E">
              <w:rPr>
                <w:rFonts w:ascii="Merriweather" w:hAnsi="Merriweather" w:cs="Times New Roman"/>
              </w:rPr>
              <w:t>Learning outcomes of the course</w:t>
            </w:r>
          </w:p>
        </w:tc>
        <w:tc>
          <w:tcPr>
            <w:tcW w:w="7390" w:type="dxa"/>
            <w:gridSpan w:val="10"/>
            <w:tcBorders>
              <w:top w:val="single" w:sz="12" w:space="0" w:color="auto"/>
              <w:left w:val="single" w:sz="12" w:space="0" w:color="auto"/>
              <w:bottom w:val="single" w:sz="12" w:space="0" w:color="auto"/>
              <w:right w:val="single" w:sz="12" w:space="0" w:color="auto"/>
            </w:tcBorders>
          </w:tcPr>
          <w:p w:rsidR="00F5404C" w:rsidRPr="00B2346E" w:rsidRDefault="00F5404C" w:rsidP="00F5404C">
            <w:pPr>
              <w:rPr>
                <w:rFonts w:ascii="Merriweather" w:hAnsi="Merriweather" w:cs="Times New Roman"/>
                <w:lang w:val="en-GB"/>
              </w:rPr>
            </w:pPr>
            <w:r w:rsidRPr="00B2346E">
              <w:rPr>
                <w:rFonts w:ascii="Merriweather" w:hAnsi="Merriweather" w:cs="Times New Roman"/>
                <w:lang w:val="en-GB"/>
              </w:rPr>
              <w:t>Students will:</w:t>
            </w:r>
          </w:p>
          <w:p w:rsidR="00F5404C" w:rsidRPr="00B2346E" w:rsidRDefault="00F5404C" w:rsidP="00F5404C">
            <w:pPr>
              <w:pStyle w:val="Odlomakpopisa"/>
              <w:numPr>
                <w:ilvl w:val="0"/>
                <w:numId w:val="1"/>
              </w:numPr>
              <w:rPr>
                <w:rFonts w:ascii="Merriweather" w:hAnsi="Merriweather" w:cs="Times New Roman"/>
                <w:lang w:val="en-GB"/>
              </w:rPr>
            </w:pPr>
            <w:r w:rsidRPr="00B2346E">
              <w:rPr>
                <w:rFonts w:ascii="Merriweather" w:hAnsi="Merriweather" w:cs="Times New Roman"/>
                <w:lang w:val="en-GB"/>
              </w:rPr>
              <w:t xml:space="preserve">acquire knowledge on the essential methodology of the underwater archaeological survey at various water depths, and in various environments (sea, caves, inland waters); </w:t>
            </w:r>
          </w:p>
          <w:p w:rsidR="00F5404C" w:rsidRPr="00B2346E" w:rsidRDefault="00F5404C" w:rsidP="00F5404C">
            <w:pPr>
              <w:pStyle w:val="Odlomakpopisa"/>
              <w:numPr>
                <w:ilvl w:val="0"/>
                <w:numId w:val="1"/>
              </w:numPr>
              <w:rPr>
                <w:rFonts w:ascii="Merriweather" w:hAnsi="Merriweather" w:cs="Times New Roman"/>
                <w:lang w:val="en-GB"/>
              </w:rPr>
            </w:pPr>
            <w:r w:rsidRPr="00B2346E">
              <w:rPr>
                <w:rFonts w:ascii="Merriweather" w:hAnsi="Merriweather" w:cs="Times New Roman"/>
                <w:lang w:val="en-GB"/>
              </w:rPr>
              <w:t>be able to explain and implement the excavation techniques on various types of underwater archaeological sites;</w:t>
            </w:r>
          </w:p>
          <w:p w:rsidR="00F5404C" w:rsidRPr="00B2346E" w:rsidRDefault="00F5404C" w:rsidP="00F5404C">
            <w:pPr>
              <w:pStyle w:val="Odlomakpopisa"/>
              <w:numPr>
                <w:ilvl w:val="0"/>
                <w:numId w:val="1"/>
              </w:numPr>
              <w:rPr>
                <w:rFonts w:ascii="Merriweather" w:hAnsi="Merriweather" w:cs="Times New Roman"/>
                <w:lang w:val="en-GB"/>
              </w:rPr>
            </w:pPr>
            <w:r w:rsidRPr="00B2346E">
              <w:rPr>
                <w:rFonts w:ascii="Merriweather" w:hAnsi="Merriweather" w:cs="Times New Roman"/>
                <w:lang w:val="en-GB"/>
              </w:rPr>
              <w:t>be able to analyse and compare the evidence from various underwater archaeological sites;</w:t>
            </w:r>
          </w:p>
          <w:p w:rsidR="00F5404C" w:rsidRPr="00B2346E" w:rsidRDefault="00F5404C" w:rsidP="00F5404C">
            <w:pPr>
              <w:pStyle w:val="Odlomakpopisa"/>
              <w:numPr>
                <w:ilvl w:val="0"/>
                <w:numId w:val="1"/>
              </w:numPr>
              <w:rPr>
                <w:rFonts w:ascii="Merriweather" w:hAnsi="Merriweather" w:cs="Times New Roman"/>
                <w:lang w:val="en-GB"/>
              </w:rPr>
            </w:pPr>
            <w:r w:rsidRPr="00B2346E">
              <w:rPr>
                <w:rFonts w:ascii="Merriweather" w:hAnsi="Merriweather" w:cs="Times New Roman"/>
                <w:lang w:val="en-GB"/>
              </w:rPr>
              <w:t>be able to manipulate the essential equipment and tools for the underwater archaeological research;</w:t>
            </w:r>
          </w:p>
          <w:p w:rsidR="00FC3F5B" w:rsidRPr="00B2346E" w:rsidRDefault="00F5404C" w:rsidP="00F5404C">
            <w:pPr>
              <w:pStyle w:val="Odlomakpopisa"/>
              <w:numPr>
                <w:ilvl w:val="0"/>
                <w:numId w:val="1"/>
              </w:numPr>
              <w:rPr>
                <w:rFonts w:ascii="Merriweather" w:hAnsi="Merriweather" w:cs="Times New Roman"/>
                <w:lang w:val="en-GB"/>
              </w:rPr>
            </w:pPr>
            <w:proofErr w:type="gramStart"/>
            <w:r w:rsidRPr="00B2346E">
              <w:rPr>
                <w:rFonts w:ascii="Merriweather" w:hAnsi="Merriweather" w:cs="Times New Roman"/>
                <w:lang w:val="en-GB"/>
              </w:rPr>
              <w:t>be</w:t>
            </w:r>
            <w:proofErr w:type="gramEnd"/>
            <w:r w:rsidRPr="00B2346E">
              <w:rPr>
                <w:rFonts w:ascii="Merriweather" w:hAnsi="Merriweather" w:cs="Times New Roman"/>
                <w:lang w:val="en-GB"/>
              </w:rPr>
              <w:t xml:space="preserve"> able to design and perform a simple underwater archaeological project.</w:t>
            </w:r>
          </w:p>
        </w:tc>
      </w:tr>
      <w:tr w:rsidR="00FC3F5B" w:rsidRPr="00B2346E" w:rsidTr="00E35CD4">
        <w:trPr>
          <w:trHeight w:val="144"/>
        </w:trPr>
        <w:tc>
          <w:tcPr>
            <w:tcW w:w="2074" w:type="dxa"/>
            <w:vMerge w:val="restart"/>
            <w:tcBorders>
              <w:top w:val="single" w:sz="12" w:space="0" w:color="auto"/>
              <w:left w:val="single" w:sz="12" w:space="0" w:color="auto"/>
              <w:right w:val="single" w:sz="12" w:space="0" w:color="auto"/>
            </w:tcBorders>
          </w:tcPr>
          <w:p w:rsidR="00FC3F5B" w:rsidRPr="00B2346E" w:rsidRDefault="00FC3F5B" w:rsidP="00FC3F5B">
            <w:pPr>
              <w:rPr>
                <w:rFonts w:ascii="Merriweather" w:hAnsi="Merriweather" w:cs="Times New Roman"/>
              </w:rPr>
            </w:pPr>
            <w:r w:rsidRPr="00B2346E">
              <w:rPr>
                <w:rFonts w:ascii="Merriweather" w:hAnsi="Merriweather" w:cs="Times New Roman"/>
              </w:rPr>
              <w:t>The course is offered to</w:t>
            </w:r>
          </w:p>
        </w:tc>
        <w:tc>
          <w:tcPr>
            <w:tcW w:w="4347" w:type="dxa"/>
            <w:gridSpan w:val="6"/>
            <w:tcBorders>
              <w:top w:val="single" w:sz="12" w:space="0" w:color="auto"/>
              <w:left w:val="single" w:sz="12" w:space="0" w:color="auto"/>
              <w:bottom w:val="single" w:sz="12" w:space="0" w:color="auto"/>
            </w:tcBorders>
            <w:shd w:val="clear" w:color="auto" w:fill="FFFFFF" w:themeFill="background1"/>
          </w:tcPr>
          <w:p w:rsidR="00FC3F5B" w:rsidRPr="00B2346E" w:rsidRDefault="00FC3F5B" w:rsidP="00FC3F5B">
            <w:pPr>
              <w:rPr>
                <w:rFonts w:ascii="Merriweather" w:hAnsi="Merriweather" w:cs="Times New Roman"/>
              </w:rPr>
            </w:pPr>
            <w:r w:rsidRPr="00B2346E">
              <w:rPr>
                <w:rFonts w:ascii="Merriweather" w:hAnsi="Merriweather" w:cs="Times New Roman"/>
              </w:rPr>
              <w:t xml:space="preserve">Incoming students who choose the above department as a home department </w:t>
            </w:r>
          </w:p>
        </w:tc>
        <w:tc>
          <w:tcPr>
            <w:tcW w:w="3043" w:type="dxa"/>
            <w:gridSpan w:val="4"/>
            <w:tcBorders>
              <w:top w:val="single" w:sz="12" w:space="0" w:color="auto"/>
              <w:bottom w:val="single" w:sz="12" w:space="0" w:color="auto"/>
              <w:right w:val="single" w:sz="12" w:space="0" w:color="auto"/>
            </w:tcBorders>
            <w:vAlign w:val="center"/>
          </w:tcPr>
          <w:p w:rsidR="00FC3F5B" w:rsidRPr="00B2346E" w:rsidRDefault="00E35CD4" w:rsidP="00FC3F5B">
            <w:pPr>
              <w:ind w:left="415"/>
              <w:rPr>
                <w:rFonts w:ascii="Merriweather" w:hAnsi="Merriweather" w:cs="Times New Roman"/>
              </w:rPr>
            </w:pPr>
            <w:r w:rsidRPr="00B2346E">
              <w:rPr>
                <w:rFonts w:ascii="Times New Roman" w:hAnsi="Times New Roman" w:cs="Times New Roman"/>
              </w:rPr>
              <w:t>■</w:t>
            </w:r>
            <w:r w:rsidR="00FC3F5B" w:rsidRPr="00B2346E">
              <w:rPr>
                <w:rFonts w:ascii="Merriweather" w:hAnsi="Merriweather" w:cs="Times New Roman"/>
              </w:rPr>
              <w:t xml:space="preserve"> yes      </w:t>
            </w:r>
            <w:r w:rsidR="00FC3F5B" w:rsidRPr="00B2346E">
              <w:rPr>
                <w:rFonts w:ascii="Times New Roman" w:hAnsi="Times New Roman" w:cs="Times New Roman"/>
              </w:rPr>
              <w:t>□</w:t>
            </w:r>
            <w:r w:rsidR="00FC3F5B" w:rsidRPr="00B2346E">
              <w:rPr>
                <w:rFonts w:ascii="Merriweather" w:hAnsi="Merriweather" w:cs="Times New Roman"/>
              </w:rPr>
              <w:t xml:space="preserve"> no</w:t>
            </w:r>
          </w:p>
        </w:tc>
      </w:tr>
      <w:tr w:rsidR="00FC3F5B" w:rsidRPr="00B2346E" w:rsidTr="00E35CD4">
        <w:trPr>
          <w:trHeight w:val="142"/>
        </w:trPr>
        <w:tc>
          <w:tcPr>
            <w:tcW w:w="2074" w:type="dxa"/>
            <w:vMerge/>
            <w:tcBorders>
              <w:left w:val="single" w:sz="12" w:space="0" w:color="auto"/>
              <w:right w:val="single" w:sz="12" w:space="0" w:color="auto"/>
            </w:tcBorders>
          </w:tcPr>
          <w:p w:rsidR="00FC3F5B" w:rsidRPr="00B2346E" w:rsidRDefault="00FC3F5B" w:rsidP="00FC3F5B">
            <w:pPr>
              <w:rPr>
                <w:rFonts w:ascii="Merriweather" w:hAnsi="Merriweather" w:cs="Times New Roman"/>
              </w:rPr>
            </w:pPr>
          </w:p>
        </w:tc>
        <w:tc>
          <w:tcPr>
            <w:tcW w:w="4347" w:type="dxa"/>
            <w:gridSpan w:val="6"/>
            <w:tcBorders>
              <w:top w:val="single" w:sz="12" w:space="0" w:color="auto"/>
              <w:left w:val="single" w:sz="12" w:space="0" w:color="auto"/>
              <w:bottom w:val="single" w:sz="12" w:space="0" w:color="auto"/>
            </w:tcBorders>
            <w:shd w:val="clear" w:color="auto" w:fill="FFFFFF" w:themeFill="background1"/>
          </w:tcPr>
          <w:p w:rsidR="00FC3F5B" w:rsidRPr="00B2346E" w:rsidRDefault="00FC3F5B" w:rsidP="00FC3F5B">
            <w:pPr>
              <w:rPr>
                <w:rFonts w:ascii="Merriweather" w:hAnsi="Merriweather" w:cs="Times New Roman"/>
              </w:rPr>
            </w:pPr>
            <w:r w:rsidRPr="00B2346E">
              <w:rPr>
                <w:rFonts w:ascii="Merriweather" w:hAnsi="Merriweather" w:cs="Times New Roman"/>
              </w:rPr>
              <w:t>All the incoming students</w:t>
            </w:r>
          </w:p>
        </w:tc>
        <w:tc>
          <w:tcPr>
            <w:tcW w:w="3043" w:type="dxa"/>
            <w:gridSpan w:val="4"/>
            <w:tcBorders>
              <w:top w:val="single" w:sz="12" w:space="0" w:color="auto"/>
              <w:bottom w:val="single" w:sz="12" w:space="0" w:color="auto"/>
              <w:right w:val="single" w:sz="12" w:space="0" w:color="auto"/>
            </w:tcBorders>
            <w:vAlign w:val="center"/>
          </w:tcPr>
          <w:p w:rsidR="00FC3F5B" w:rsidRPr="00B2346E" w:rsidRDefault="00E35CD4" w:rsidP="00FC3F5B">
            <w:pPr>
              <w:ind w:left="415"/>
              <w:rPr>
                <w:rFonts w:ascii="Merriweather" w:hAnsi="Merriweather" w:cs="Times New Roman"/>
              </w:rPr>
            </w:pPr>
            <w:r w:rsidRPr="00B2346E">
              <w:rPr>
                <w:rFonts w:ascii="Times New Roman" w:hAnsi="Times New Roman" w:cs="Times New Roman"/>
              </w:rPr>
              <w:t>■</w:t>
            </w:r>
            <w:r w:rsidR="00FC3F5B" w:rsidRPr="00B2346E">
              <w:rPr>
                <w:rFonts w:ascii="Merriweather" w:hAnsi="Merriweather" w:cs="Times New Roman"/>
              </w:rPr>
              <w:t xml:space="preserve"> yes      </w:t>
            </w:r>
            <w:r w:rsidR="00FC3F5B" w:rsidRPr="00B2346E">
              <w:rPr>
                <w:rFonts w:ascii="Times New Roman" w:hAnsi="Times New Roman" w:cs="Times New Roman"/>
              </w:rPr>
              <w:t>□</w:t>
            </w:r>
            <w:r w:rsidR="00FC3F5B" w:rsidRPr="00B2346E">
              <w:rPr>
                <w:rFonts w:ascii="Merriweather" w:hAnsi="Merriweather" w:cs="Times New Roman"/>
              </w:rPr>
              <w:t xml:space="preserve"> no</w:t>
            </w:r>
          </w:p>
        </w:tc>
      </w:tr>
      <w:tr w:rsidR="00FC3F5B" w:rsidRPr="00B2346E" w:rsidTr="00E35CD4">
        <w:trPr>
          <w:trHeight w:val="142"/>
        </w:trPr>
        <w:tc>
          <w:tcPr>
            <w:tcW w:w="2074" w:type="dxa"/>
            <w:vMerge/>
            <w:tcBorders>
              <w:left w:val="single" w:sz="12" w:space="0" w:color="auto"/>
              <w:right w:val="single" w:sz="12" w:space="0" w:color="auto"/>
            </w:tcBorders>
          </w:tcPr>
          <w:p w:rsidR="00FC3F5B" w:rsidRPr="00B2346E" w:rsidRDefault="00FC3F5B" w:rsidP="00FC3F5B">
            <w:pPr>
              <w:rPr>
                <w:rFonts w:ascii="Merriweather" w:hAnsi="Merriweather" w:cs="Times New Roman"/>
              </w:rPr>
            </w:pPr>
          </w:p>
        </w:tc>
        <w:tc>
          <w:tcPr>
            <w:tcW w:w="4347" w:type="dxa"/>
            <w:gridSpan w:val="6"/>
            <w:tcBorders>
              <w:top w:val="single" w:sz="12" w:space="0" w:color="auto"/>
              <w:left w:val="single" w:sz="12" w:space="0" w:color="auto"/>
              <w:bottom w:val="single" w:sz="12" w:space="0" w:color="auto"/>
            </w:tcBorders>
            <w:shd w:val="clear" w:color="auto" w:fill="FFFFFF" w:themeFill="background1"/>
          </w:tcPr>
          <w:p w:rsidR="00FC3F5B" w:rsidRPr="00B2346E" w:rsidRDefault="00FC3F5B" w:rsidP="00FC3F5B">
            <w:pPr>
              <w:rPr>
                <w:rFonts w:ascii="Merriweather" w:hAnsi="Merriweather" w:cs="Times New Roman"/>
              </w:rPr>
            </w:pPr>
            <w:r w:rsidRPr="00B2346E">
              <w:rPr>
                <w:rFonts w:ascii="Merriweather" w:hAnsi="Merriweather" w:cs="Times New Roman"/>
              </w:rPr>
              <w:t>Students of the University of Zadar enrolled at the above department as an elective course</w:t>
            </w:r>
          </w:p>
        </w:tc>
        <w:tc>
          <w:tcPr>
            <w:tcW w:w="3043" w:type="dxa"/>
            <w:gridSpan w:val="4"/>
            <w:tcBorders>
              <w:top w:val="single" w:sz="12" w:space="0" w:color="auto"/>
              <w:bottom w:val="single" w:sz="12" w:space="0" w:color="auto"/>
              <w:right w:val="single" w:sz="12" w:space="0" w:color="auto"/>
            </w:tcBorders>
            <w:vAlign w:val="center"/>
          </w:tcPr>
          <w:p w:rsidR="00FC3F5B" w:rsidRPr="00B2346E" w:rsidRDefault="00E35CD4" w:rsidP="00FC3F5B">
            <w:pPr>
              <w:ind w:left="415"/>
              <w:rPr>
                <w:rFonts w:ascii="Merriweather" w:hAnsi="Merriweather" w:cs="Times New Roman"/>
              </w:rPr>
            </w:pPr>
            <w:r w:rsidRPr="00B2346E">
              <w:rPr>
                <w:rFonts w:ascii="Times New Roman" w:hAnsi="Times New Roman" w:cs="Times New Roman"/>
              </w:rPr>
              <w:t>■</w:t>
            </w:r>
            <w:r w:rsidR="00FC3F5B" w:rsidRPr="00B2346E">
              <w:rPr>
                <w:rFonts w:ascii="Merriweather" w:hAnsi="Merriweather" w:cs="Times New Roman"/>
              </w:rPr>
              <w:t xml:space="preserve"> yes      </w:t>
            </w:r>
            <w:r w:rsidR="00FC3F5B" w:rsidRPr="00B2346E">
              <w:rPr>
                <w:rFonts w:ascii="Times New Roman" w:hAnsi="Times New Roman" w:cs="Times New Roman"/>
              </w:rPr>
              <w:t>□</w:t>
            </w:r>
            <w:r w:rsidR="00FC3F5B" w:rsidRPr="00B2346E">
              <w:rPr>
                <w:rFonts w:ascii="Merriweather" w:hAnsi="Merriweather" w:cs="Times New Roman"/>
              </w:rPr>
              <w:t xml:space="preserve"> no</w:t>
            </w:r>
          </w:p>
        </w:tc>
      </w:tr>
      <w:tr w:rsidR="00FC3F5B" w:rsidRPr="00B2346E" w:rsidTr="00E35CD4">
        <w:trPr>
          <w:trHeight w:val="142"/>
        </w:trPr>
        <w:tc>
          <w:tcPr>
            <w:tcW w:w="2074" w:type="dxa"/>
            <w:vMerge/>
            <w:tcBorders>
              <w:left w:val="single" w:sz="12" w:space="0" w:color="auto"/>
              <w:bottom w:val="single" w:sz="12" w:space="0" w:color="auto"/>
              <w:right w:val="single" w:sz="12" w:space="0" w:color="auto"/>
            </w:tcBorders>
          </w:tcPr>
          <w:p w:rsidR="00FC3F5B" w:rsidRPr="00B2346E" w:rsidRDefault="00FC3F5B" w:rsidP="00FC3F5B">
            <w:pPr>
              <w:rPr>
                <w:rFonts w:ascii="Merriweather" w:hAnsi="Merriweather" w:cs="Times New Roman"/>
              </w:rPr>
            </w:pPr>
          </w:p>
        </w:tc>
        <w:tc>
          <w:tcPr>
            <w:tcW w:w="4347" w:type="dxa"/>
            <w:gridSpan w:val="6"/>
            <w:tcBorders>
              <w:top w:val="single" w:sz="12" w:space="0" w:color="auto"/>
              <w:left w:val="single" w:sz="12" w:space="0" w:color="auto"/>
              <w:bottom w:val="single" w:sz="12" w:space="0" w:color="auto"/>
            </w:tcBorders>
            <w:shd w:val="clear" w:color="auto" w:fill="FFFFFF" w:themeFill="background1"/>
          </w:tcPr>
          <w:p w:rsidR="00FC3F5B" w:rsidRPr="00B2346E" w:rsidRDefault="00FC3F5B" w:rsidP="00FC3F5B">
            <w:pPr>
              <w:rPr>
                <w:rFonts w:ascii="Merriweather" w:hAnsi="Merriweather" w:cs="Times New Roman"/>
              </w:rPr>
            </w:pPr>
            <w:r w:rsidRPr="00B2346E">
              <w:rPr>
                <w:rFonts w:ascii="Merriweather" w:hAnsi="Merriweather" w:cs="Times New Roman"/>
              </w:rPr>
              <w:t>All the students of the University of Zadar as an elective course</w:t>
            </w:r>
          </w:p>
        </w:tc>
        <w:tc>
          <w:tcPr>
            <w:tcW w:w="3043" w:type="dxa"/>
            <w:gridSpan w:val="4"/>
            <w:tcBorders>
              <w:top w:val="single" w:sz="12" w:space="0" w:color="auto"/>
              <w:bottom w:val="single" w:sz="12" w:space="0" w:color="auto"/>
              <w:right w:val="single" w:sz="12" w:space="0" w:color="auto"/>
            </w:tcBorders>
            <w:vAlign w:val="center"/>
          </w:tcPr>
          <w:p w:rsidR="00FC3F5B" w:rsidRPr="00B2346E" w:rsidRDefault="00E35CD4" w:rsidP="00FC3F5B">
            <w:pPr>
              <w:ind w:left="415"/>
              <w:rPr>
                <w:rFonts w:ascii="Merriweather" w:hAnsi="Merriweather" w:cs="Times New Roman"/>
              </w:rPr>
            </w:pPr>
            <w:r w:rsidRPr="00B2346E">
              <w:rPr>
                <w:rFonts w:ascii="Times New Roman" w:hAnsi="Times New Roman" w:cs="Times New Roman"/>
              </w:rPr>
              <w:t>■</w:t>
            </w:r>
            <w:r w:rsidR="00FC3F5B" w:rsidRPr="00B2346E">
              <w:rPr>
                <w:rFonts w:ascii="Merriweather" w:hAnsi="Merriweather" w:cs="Times New Roman"/>
              </w:rPr>
              <w:t xml:space="preserve"> yes      </w:t>
            </w:r>
            <w:r w:rsidR="00FC3F5B" w:rsidRPr="00B2346E">
              <w:rPr>
                <w:rFonts w:ascii="Times New Roman" w:hAnsi="Times New Roman" w:cs="Times New Roman"/>
              </w:rPr>
              <w:t>□</w:t>
            </w:r>
            <w:r w:rsidR="00FC3F5B" w:rsidRPr="00B2346E">
              <w:rPr>
                <w:rFonts w:ascii="Merriweather" w:hAnsi="Merriweather" w:cs="Times New Roman"/>
              </w:rPr>
              <w:t xml:space="preserve"> no</w:t>
            </w:r>
          </w:p>
        </w:tc>
      </w:tr>
    </w:tbl>
    <w:p w:rsidR="009461E7" w:rsidRPr="001911E3" w:rsidRDefault="002F3C8F" w:rsidP="00E35CD4">
      <w:pPr>
        <w:spacing w:after="0" w:line="240" w:lineRule="auto"/>
        <w:rPr>
          <w:rFonts w:ascii="Times New Roman" w:hAnsi="Times New Roman" w:cs="Times New Roman"/>
          <w:sz w:val="24"/>
          <w:szCs w:val="24"/>
        </w:rPr>
      </w:pPr>
    </w:p>
    <w:sectPr w:rsidR="009461E7" w:rsidRPr="001911E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C8F" w:rsidRDefault="002F3C8F" w:rsidP="00674FC8">
      <w:pPr>
        <w:spacing w:after="0" w:line="240" w:lineRule="auto"/>
      </w:pPr>
      <w:r>
        <w:separator/>
      </w:r>
    </w:p>
  </w:endnote>
  <w:endnote w:type="continuationSeparator" w:id="0">
    <w:p w:rsidR="002F3C8F" w:rsidRDefault="002F3C8F" w:rsidP="00674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rriweather">
    <w:panose1 w:val="00000500000000000000"/>
    <w:charset w:val="EE"/>
    <w:family w:val="auto"/>
    <w:pitch w:val="variable"/>
    <w:sig w:usb0="20000207" w:usb1="00000002"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C8F" w:rsidRDefault="002F3C8F" w:rsidP="00674FC8">
      <w:pPr>
        <w:spacing w:after="0" w:line="240" w:lineRule="auto"/>
      </w:pPr>
      <w:r>
        <w:separator/>
      </w:r>
    </w:p>
  </w:footnote>
  <w:footnote w:type="continuationSeparator" w:id="0">
    <w:p w:rsidR="002F3C8F" w:rsidRDefault="002F3C8F" w:rsidP="00674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FC8" w:rsidRPr="00B2346E" w:rsidRDefault="00674FC8" w:rsidP="00674FC8">
    <w:pPr>
      <w:pStyle w:val="Zaglavlje"/>
      <w:jc w:val="center"/>
      <w:rPr>
        <w:rFonts w:ascii="Merriweather" w:hAnsi="Merriweather" w:cs="Times New Roman"/>
      </w:rPr>
    </w:pPr>
    <w:r w:rsidRPr="00B2346E">
      <w:rPr>
        <w:rFonts w:ascii="Merriweather" w:hAnsi="Merriweather" w:cs="Times New Roman"/>
      </w:rPr>
      <w:t xml:space="preserve">COURSES OFFERED IN A </w:t>
    </w:r>
    <w:proofErr w:type="spellStart"/>
    <w:r w:rsidRPr="00B2346E">
      <w:rPr>
        <w:rFonts w:ascii="Merriweather" w:hAnsi="Merriweather" w:cs="Times New Roman"/>
      </w:rPr>
      <w:t>FOREIGN</w:t>
    </w:r>
    <w:proofErr w:type="spellEnd"/>
    <w:r w:rsidRPr="00B2346E">
      <w:rPr>
        <w:rFonts w:ascii="Merriweather" w:hAnsi="Merriweather" w:cs="Times New Roman"/>
      </w:rPr>
      <w:t xml:space="preserve"> </w:t>
    </w:r>
    <w:proofErr w:type="spellStart"/>
    <w:r w:rsidRPr="00B2346E">
      <w:rPr>
        <w:rFonts w:ascii="Merriweather" w:hAnsi="Merriweather" w:cs="Times New Roman"/>
      </w:rPr>
      <w:t>LANGUAGE</w:t>
    </w:r>
    <w:proofErr w:type="spellEnd"/>
    <w:r w:rsidRPr="00B2346E">
      <w:rPr>
        <w:rFonts w:ascii="Merriweather" w:hAnsi="Merriweather" w:cs="Times New Roman"/>
      </w:rPr>
      <w:t xml:space="preserve"> IN </w:t>
    </w:r>
    <w:proofErr w:type="spellStart"/>
    <w:r w:rsidRPr="00B2346E">
      <w:rPr>
        <w:rFonts w:ascii="Merriweather" w:hAnsi="Merriweather" w:cs="Times New Roman"/>
      </w:rPr>
      <w:t>THE</w:t>
    </w:r>
    <w:proofErr w:type="spellEnd"/>
    <w:r w:rsidR="00D6316C" w:rsidRPr="00B2346E">
      <w:rPr>
        <w:rFonts w:ascii="Merriweather" w:hAnsi="Merriweather" w:cs="Times New Roman"/>
      </w:rPr>
      <w:t xml:space="preserve"> </w:t>
    </w:r>
    <w:proofErr w:type="spellStart"/>
    <w:r w:rsidR="00D6316C" w:rsidRPr="00B2346E">
      <w:rPr>
        <w:rFonts w:ascii="Merriweather" w:hAnsi="Merriweather" w:cs="Times New Roman"/>
      </w:rPr>
      <w:t>ACADEMIC</w:t>
    </w:r>
    <w:proofErr w:type="spellEnd"/>
    <w:r w:rsidR="00D6316C" w:rsidRPr="00B2346E">
      <w:rPr>
        <w:rFonts w:ascii="Merriweather" w:hAnsi="Merriweather" w:cs="Times New Roman"/>
      </w:rPr>
      <w:t xml:space="preserve"> </w:t>
    </w:r>
    <w:proofErr w:type="spellStart"/>
    <w:r w:rsidR="00D6316C" w:rsidRPr="00B2346E">
      <w:rPr>
        <w:rFonts w:ascii="Merriweather" w:hAnsi="Merriweather" w:cs="Times New Roman"/>
      </w:rPr>
      <w:t>YEAR</w:t>
    </w:r>
    <w:proofErr w:type="spellEnd"/>
    <w:r w:rsidR="00D6316C" w:rsidRPr="00B2346E">
      <w:rPr>
        <w:rFonts w:ascii="Merriweather" w:hAnsi="Merriweather" w:cs="Times New Roman"/>
      </w:rPr>
      <w:t xml:space="preserve"> </w:t>
    </w:r>
    <w:r w:rsidR="00AA535D">
      <w:rPr>
        <w:rFonts w:ascii="Merriweather" w:hAnsi="Merriweather" w:cs="Times New Roman"/>
      </w:rPr>
      <w:t>2024/2025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E4DFB"/>
    <w:multiLevelType w:val="hybridMultilevel"/>
    <w:tmpl w:val="B8F63996"/>
    <w:lvl w:ilvl="0" w:tplc="0882C8D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3EE"/>
    <w:rsid w:val="000151DE"/>
    <w:rsid w:val="0014771C"/>
    <w:rsid w:val="001911E3"/>
    <w:rsid w:val="00225333"/>
    <w:rsid w:val="002339FB"/>
    <w:rsid w:val="002F3C8F"/>
    <w:rsid w:val="00334216"/>
    <w:rsid w:val="00345CC0"/>
    <w:rsid w:val="00451D3F"/>
    <w:rsid w:val="004F670E"/>
    <w:rsid w:val="0055617B"/>
    <w:rsid w:val="005A3B16"/>
    <w:rsid w:val="005B0D7A"/>
    <w:rsid w:val="005B7647"/>
    <w:rsid w:val="00600D27"/>
    <w:rsid w:val="00674FC8"/>
    <w:rsid w:val="006B3CED"/>
    <w:rsid w:val="006E5446"/>
    <w:rsid w:val="00753F71"/>
    <w:rsid w:val="00853306"/>
    <w:rsid w:val="0088659C"/>
    <w:rsid w:val="008F44B4"/>
    <w:rsid w:val="009827F0"/>
    <w:rsid w:val="00A5066E"/>
    <w:rsid w:val="00AA535D"/>
    <w:rsid w:val="00AB037F"/>
    <w:rsid w:val="00AB43EE"/>
    <w:rsid w:val="00B2346E"/>
    <w:rsid w:val="00BE1834"/>
    <w:rsid w:val="00D46EDE"/>
    <w:rsid w:val="00D6316C"/>
    <w:rsid w:val="00E0196F"/>
    <w:rsid w:val="00E32135"/>
    <w:rsid w:val="00E35CD4"/>
    <w:rsid w:val="00E63362"/>
    <w:rsid w:val="00EE6DA0"/>
    <w:rsid w:val="00F03B91"/>
    <w:rsid w:val="00F11EDD"/>
    <w:rsid w:val="00F5404C"/>
    <w:rsid w:val="00F833B8"/>
    <w:rsid w:val="00FB0FE3"/>
    <w:rsid w:val="00FC3F5B"/>
    <w:rsid w:val="00FE481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CE594"/>
  <w15:docId w15:val="{8C8A566C-8811-4B19-8CAE-6D26352A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AB4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674FC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74FC8"/>
  </w:style>
  <w:style w:type="paragraph" w:styleId="Podnoje">
    <w:name w:val="footer"/>
    <w:basedOn w:val="Normal"/>
    <w:link w:val="PodnojeChar"/>
    <w:uiPriority w:val="99"/>
    <w:unhideWhenUsed/>
    <w:rsid w:val="00674FC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74FC8"/>
  </w:style>
  <w:style w:type="paragraph" w:styleId="Odlomakpopisa">
    <w:name w:val="List Paragraph"/>
    <w:basedOn w:val="Normal"/>
    <w:uiPriority w:val="34"/>
    <w:qFormat/>
    <w:rsid w:val="00F54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F2728-C736-4D74-B65C-2F18B2B8D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2029</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sstepano@unizd.hr</dc:creator>
  <cp:lastModifiedBy>Ana Surać</cp:lastModifiedBy>
  <cp:revision>2</cp:revision>
  <cp:lastPrinted>2016-01-28T08:45:00Z</cp:lastPrinted>
  <dcterms:created xsi:type="dcterms:W3CDTF">2024-05-22T08:19:00Z</dcterms:created>
  <dcterms:modified xsi:type="dcterms:W3CDTF">2024-05-22T08:19:00Z</dcterms:modified>
</cp:coreProperties>
</file>