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A2BFB56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4C74744" w:rsidR="004B553E" w:rsidRPr="0017531F" w:rsidRDefault="00D41A8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Eneolitik Bliskog istoka i jugoistočne Europe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6ECFA1B" w:rsidR="004B553E" w:rsidRPr="0017531F" w:rsidRDefault="002050C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6177D9A" w:rsidR="004B553E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 w:rsidRPr="002050C9">
              <w:rPr>
                <w:rFonts w:ascii="Merriweather" w:hAnsi="Merriweather" w:cs="Times New Roman"/>
                <w:b/>
                <w:sz w:val="18"/>
                <w:szCs w:val="18"/>
              </w:rPr>
              <w:t>diplomski studij Odjela za arheologiju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A371BA7" w:rsidR="004B553E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0667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E397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2CA384C5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42F716E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15585A2" w:rsidR="004B553E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E397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954F006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E397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32A78F3" w:rsidR="00393964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5E397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298115" w:rsidR="00393964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12ED533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3AD8ED0E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00EE99" w:rsidR="00453362" w:rsidRPr="0017531F" w:rsidRDefault="002050C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8CE63DD" w:rsidR="00453362" w:rsidRPr="0017531F" w:rsidRDefault="002050C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C5E8970" w:rsidR="00453362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25F748F" w:rsidR="00453362" w:rsidRPr="00D41A85" w:rsidRDefault="002050C9" w:rsidP="00D41A85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101, </w:t>
            </w:r>
            <w:r w:rsidR="00D41A85" w:rsidRPr="00CF130A">
              <w:rPr>
                <w:rFonts w:ascii="Merriweather" w:hAnsi="Merriweather"/>
                <w:sz w:val="16"/>
                <w:szCs w:val="16"/>
              </w:rPr>
              <w:t>četvrt</w:t>
            </w:r>
            <w:r w:rsidR="00D41A85">
              <w:rPr>
                <w:rFonts w:ascii="Merriweather" w:hAnsi="Merriweather"/>
                <w:sz w:val="16"/>
                <w:szCs w:val="16"/>
              </w:rPr>
              <w:t>kom</w:t>
            </w:r>
            <w:r w:rsidR="00D41A85" w:rsidRPr="00CF130A">
              <w:rPr>
                <w:rFonts w:ascii="Merriweather" w:hAnsi="Merriweather"/>
                <w:sz w:val="16"/>
                <w:szCs w:val="16"/>
              </w:rPr>
              <w:t>, 9-12</w:t>
            </w:r>
            <w:r w:rsidR="00D41A85">
              <w:rPr>
                <w:rFonts w:ascii="Merriweather" w:hAnsi="Merriweather"/>
                <w:sz w:val="16"/>
                <w:szCs w:val="16"/>
              </w:rPr>
              <w:t>:</w:t>
            </w:r>
            <w:r w:rsidR="00D41A85" w:rsidRPr="00CF130A">
              <w:rPr>
                <w:rFonts w:ascii="Merriweather" w:hAnsi="Merriweather"/>
                <w:sz w:val="16"/>
                <w:szCs w:val="16"/>
              </w:rPr>
              <w:t>00h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E33827F" w:rsidR="00453362" w:rsidRPr="0017531F" w:rsidRDefault="002050C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94CD4C8" w:rsidR="00453362" w:rsidRPr="0017531F" w:rsidRDefault="00D41A8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050C9">
              <w:rPr>
                <w:rFonts w:ascii="Merriweather" w:hAnsi="Merriweather" w:cs="Times New Roman"/>
                <w:sz w:val="16"/>
                <w:szCs w:val="16"/>
              </w:rPr>
              <w:t>/10/2024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1723435" w:rsidR="00453362" w:rsidRPr="0017531F" w:rsidRDefault="002050C9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41A85">
              <w:rPr>
                <w:rFonts w:ascii="Merriweather" w:hAnsi="Merriweather" w:cs="Times New Roman"/>
                <w:sz w:val="16"/>
                <w:szCs w:val="16"/>
              </w:rPr>
              <w:t>3</w:t>
            </w:r>
            <w:r>
              <w:rPr>
                <w:rFonts w:ascii="Merriweather" w:hAnsi="Merriweather" w:cs="Times New Roman"/>
                <w:sz w:val="16"/>
                <w:szCs w:val="16"/>
              </w:rPr>
              <w:t>/1/2025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B493D1D" w:rsidR="00453362" w:rsidRPr="0017531F" w:rsidRDefault="002050C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D2DEECC" w:rsidR="00453362" w:rsidRPr="0017531F" w:rsidRDefault="00D41A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Kristina Horvat Oštrić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14EFEFAB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DC8E239" w:rsidR="00453362" w:rsidRPr="0017531F" w:rsidRDefault="00D41A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četvrtak, 8-9:00 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0384784" w:rsidR="00453362" w:rsidRPr="0017531F" w:rsidRDefault="00D41A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3CA344F" w:rsidR="00453362" w:rsidRPr="0017531F" w:rsidRDefault="00D41A8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33E4F3D2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20592B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0C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A58489B" w14:textId="77777777" w:rsidR="002050C9" w:rsidRPr="002050C9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Nakon položenog ispita iz ovoga kolegija studenti će biti sposobni:  </w:t>
            </w:r>
          </w:p>
          <w:p w14:paraId="27E65327" w14:textId="362BD6BA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opisati pojam evolucije čovjeka i nastanak modernih ljudi kroz različite utjecaje i procese koji su oblikovali našu vrstu</w:t>
            </w:r>
          </w:p>
          <w:p w14:paraId="4A10C7EC" w14:textId="49E375D2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definirati osnovnu materijalnu kulturu koju povezujemo uz rana razdoblja prapovijesti (paleolitik i mezolitik)</w:t>
            </w:r>
          </w:p>
          <w:p w14:paraId="00D290E4" w14:textId="7F73B601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razlikovati i upotrebljavati osnovne pojmove važne za razdoblje paleolitika i mezolitika</w:t>
            </w:r>
          </w:p>
          <w:p w14:paraId="290D1A60" w14:textId="2D3DCF8F" w:rsidR="002050C9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poznavati najvažnija nalazišta paleolitika i mezolitika </w:t>
            </w:r>
          </w:p>
          <w:p w14:paraId="13E2A08B" w14:textId="215EB8C7" w:rsidR="00310F9A" w:rsidRPr="002050C9" w:rsidRDefault="002050C9" w:rsidP="002050C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poznavati najnovija znanstvena dostignuća kao i teorije vezane uz različite aspekte života tijekom paleolitika i mezolitika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BCC575B" w:rsidR="00310F9A" w:rsidRPr="0017531F" w:rsidRDefault="002050C9" w:rsidP="002050C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050C9">
              <w:rPr>
                <w:rFonts w:ascii="Merriweather" w:hAnsi="Merriweather" w:cs="Times New Roman"/>
                <w:sz w:val="16"/>
                <w:szCs w:val="16"/>
              </w:rPr>
              <w:t>Kolegij postavlja temelje za proučavanje kasnijih razdoblja prapovijesti. Uklapa se u skupove ishoda učenja programa P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 xml:space="preserve">3, 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PD_ARH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4,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12,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13,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14 i PD</w:t>
            </w:r>
            <w:r w:rsidR="00F67111">
              <w:rPr>
                <w:rFonts w:ascii="Merriweather" w:hAnsi="Merriweather" w:cs="Times New Roman"/>
                <w:sz w:val="16"/>
                <w:szCs w:val="16"/>
              </w:rPr>
              <w:t>_ARH</w:t>
            </w:r>
            <w:r w:rsidRPr="002050C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6A4D0376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898947C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5704CEC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8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96437D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E397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81B3ED5" w:rsidR="00FC2198" w:rsidRPr="0017531F" w:rsidRDefault="002B77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6963081" w:rsidR="00FC2198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C585680" w:rsidR="00FC2198" w:rsidRPr="0017531F" w:rsidRDefault="005E397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7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C2228" w:rsidRPr="0017531F" w14:paraId="1A30FCB5" w14:textId="77777777" w:rsidTr="00D40C9A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C2228" w:rsidRPr="0017531F" w:rsidRDefault="009C222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14:paraId="346823C5" w14:textId="66AB0B10" w:rsidR="009C2228" w:rsidRPr="0017531F" w:rsidRDefault="009C2228" w:rsidP="009C222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C2228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D41A85" w:rsidRPr="0017531F" w14:paraId="1F1C7616" w14:textId="77777777" w:rsidTr="00DB717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1D9A491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Kolegij donosi opći pregled eneolitika kao posebnog razdoblja prapovijesti, s obzirom na posebnosti u njegovom sadržaju i arheološkoj građi prema drugim prapovijesnim razdobljima, kroz sljedeće tematske cjeline: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42F3906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I. tematska cjelina: pojam i sadržaj eneolitika, s periodizacijom, kronologijom i teritorijalno-kulturnom podjelom;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14F7F2C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II. tematska cjelina: pregled razvoja rudarstva, prerade bakra i upotrebe bakrenih predmeta s tipologijom bakrenih predmeta;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072A501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 xml:space="preserve">III. tematska cjelina: Indoeuropljani, arheološki aspekti procesa indoeuropeizacije, pregled  indoeuropskih  pojava  u  materijalnoj  i  duhovnoj  kulturi  eneolitičkih zajednica; </w:t>
            </w:r>
          </w:p>
          <w:p w14:paraId="13F6E208" w14:textId="77777777" w:rsidR="00D41A85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IV. tematska cjelina: pregled eneolitičkih kultura na panonsko-podunavskom području;</w:t>
            </w:r>
            <w:r w:rsidRPr="00CF130A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232A0C09" w14:textId="7D5A803F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V. tematska cjelina: pregled eneolitičkih kultura u jugoistočnoj Europi.</w:t>
            </w:r>
          </w:p>
        </w:tc>
      </w:tr>
      <w:tr w:rsidR="00D41A85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03F7AC1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1. ENEOLITIK – uvod u razdoblje</w:t>
            </w:r>
          </w:p>
          <w:p w14:paraId="4F92DA4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termini</w:t>
            </w:r>
          </w:p>
          <w:p w14:paraId="4FCCDE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periodizacija</w:t>
            </w:r>
          </w:p>
          <w:p w14:paraId="018ABA2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kronologija</w:t>
            </w:r>
          </w:p>
          <w:p w14:paraId="42153A4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2. ENEOLITIK – uvod u razdoblje</w:t>
            </w:r>
          </w:p>
          <w:p w14:paraId="436A494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opće odlike eneolitika:</w:t>
            </w:r>
          </w:p>
          <w:p w14:paraId="5F8B1684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proces dezintegriranja neolitičkih i formiranja eneolitičkih kultura</w:t>
            </w:r>
          </w:p>
          <w:p w14:paraId="75EBB65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privredi</w:t>
            </w:r>
          </w:p>
          <w:p w14:paraId="6EBF397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razvoj rudarstva i prerade bakra</w:t>
            </w:r>
          </w:p>
          <w:p w14:paraId="390D636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društvenoj organizaciji</w:t>
            </w:r>
          </w:p>
          <w:p w14:paraId="51AC1F8B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proces indoeuropeizacije i promjene u demografskoj strukturi</w:t>
            </w:r>
          </w:p>
          <w:p w14:paraId="5342F442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naseobinskim aspektima eneolitičkih zajednica</w:t>
            </w:r>
          </w:p>
          <w:p w14:paraId="4AA15CD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promjene u duhovnoj kulturi (pokapanje, antropomorfna plastika)</w:t>
            </w:r>
          </w:p>
          <w:p w14:paraId="2B74A922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razvoj novih keramičkih tipova i stilova ukrašavanja</w:t>
            </w:r>
          </w:p>
          <w:p w14:paraId="35895A30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3.POVIJEST PROCESA METALIZACIJE</w:t>
            </w:r>
          </w:p>
          <w:p w14:paraId="7155BF4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početci rudarstva i uporabe bakra u jugoistočnoj Europi</w:t>
            </w:r>
          </w:p>
          <w:p w14:paraId="0198BAF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podrijetlo primarne industrije bakra u jugoistočnoj Europi</w:t>
            </w:r>
          </w:p>
          <w:p w14:paraId="5B49BFB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uloga samorodnog bakra</w:t>
            </w:r>
          </w:p>
          <w:p w14:paraId="374DBB5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– najraniji nalazi i klasifikacija bakrenih artefakata u jugoistočnoj Europi</w:t>
            </w:r>
          </w:p>
          <w:p w14:paraId="3C1892FB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4.POVIJEST PROCESA METALIZACIJE</w:t>
            </w:r>
          </w:p>
          <w:p w14:paraId="15CB7EA1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razvoj metalurških postupaka prerade bakra</w:t>
            </w:r>
          </w:p>
          <w:p w14:paraId="3AC598F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serijska proizvodnja bakrenih artefakata</w:t>
            </w:r>
          </w:p>
          <w:p w14:paraId="498B0C15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metalurška postrojenja i pribor za lijevanje</w:t>
            </w:r>
          </w:p>
          <w:p w14:paraId="765B6A3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tipološki razvoj i relativna kronologija masivnih bakrenih artefakata</w:t>
            </w:r>
          </w:p>
          <w:p w14:paraId="2C0722C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5. POSLJEDICE PROCESA METALIZACIJE – arheološki podatci</w:t>
            </w:r>
          </w:p>
          <w:p w14:paraId="28CE72A1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ekonomski aspekti</w:t>
            </w:r>
          </w:p>
          <w:p w14:paraId="13105C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sociološki aspekti</w:t>
            </w:r>
          </w:p>
          <w:p w14:paraId="75C3693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kulturološki aspekti</w:t>
            </w:r>
          </w:p>
          <w:p w14:paraId="64A98FD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6. INDOEUROPLJANI – jezični aspekti</w:t>
            </w:r>
          </w:p>
          <w:p w14:paraId="58012C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povijest ideje</w:t>
            </w:r>
          </w:p>
          <w:p w14:paraId="401F0B02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komparativna lingvistika- povijest istraživanja</w:t>
            </w:r>
          </w:p>
          <w:p w14:paraId="01F6213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7. INDOEUROPLJANI – jezični aspekti</w:t>
            </w:r>
          </w:p>
          <w:p w14:paraId="5A6544D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podjela indoeuropskih jezika (Satem i Centum)</w:t>
            </w:r>
          </w:p>
          <w:p w14:paraId="7A0F1B10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stratifikacija indoeuropskih jezika</w:t>
            </w:r>
          </w:p>
          <w:p w14:paraId="308E2AA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8. INDOEUROPLJANI – jezični aspekti - teorije o pradomovini Indoeuropljana:</w:t>
            </w:r>
          </w:p>
          <w:p w14:paraId="5907FE0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paleolitičkog kontinuiteta (PaleolithicContinuityTheory)</w:t>
            </w:r>
          </w:p>
          <w:p w14:paraId="22A9EBF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kontinuiteta ( ContinuityTheory)</w:t>
            </w:r>
          </w:p>
          <w:p w14:paraId="6BCE929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o armenskom podrijetlu (Armenianhypothesis)</w:t>
            </w:r>
          </w:p>
          <w:p w14:paraId="6EDA6A3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9. INDOEUROPLJANI – jezični aspekti - teorije o pradomovini Indoeuropljana:</w:t>
            </w:r>
          </w:p>
          <w:p w14:paraId="4C2AC02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teorije o pradomovini Indoeuropljana:</w:t>
            </w:r>
          </w:p>
          <w:p w14:paraId="1F19E30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teorija o anatolskom podrijetlu (Anatolianhypothesis)</w:t>
            </w:r>
          </w:p>
          <w:p w14:paraId="3F27FF2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kurgan teorija (Kurgan hypothesis)</w:t>
            </w:r>
          </w:p>
          <w:p w14:paraId="7C74530E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druge teorije</w:t>
            </w:r>
          </w:p>
          <w:p w14:paraId="15A342C4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10. INDOEUROPLJANI – arheološki aspekti</w:t>
            </w:r>
          </w:p>
          <w:p w14:paraId="3345044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naselja i društvo</w:t>
            </w:r>
          </w:p>
          <w:p w14:paraId="79C24F5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privreda i način života</w:t>
            </w:r>
          </w:p>
          <w:p w14:paraId="2E6BA3BD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nekropole i način pokapanja</w:t>
            </w:r>
          </w:p>
          <w:p w14:paraId="7275545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matrijalna kultura</w:t>
            </w:r>
          </w:p>
          <w:p w14:paraId="1A32514C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11. INDOEUROPSKE KULTURE – arheološki aspekti</w:t>
            </w:r>
          </w:p>
          <w:p w14:paraId="17659E7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lastRenderedPageBreak/>
              <w:t>- kultura Seroglazovo</w:t>
            </w:r>
          </w:p>
          <w:p w14:paraId="307CE425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Samara</w:t>
            </w:r>
          </w:p>
          <w:p w14:paraId="424919A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Hvalinsk</w:t>
            </w:r>
          </w:p>
          <w:p w14:paraId="096A476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Jamna kultura</w:t>
            </w:r>
          </w:p>
          <w:p w14:paraId="4D42208B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12. INDOEUROPSKA EKSPANZIJA U JUGOISTOČNU EUROPU – arheološke potvrde</w:t>
            </w:r>
          </w:p>
          <w:p w14:paraId="7CE76470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Decea Muresului</w:t>
            </w:r>
          </w:p>
          <w:p w14:paraId="540504C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Gorodsk-Usatovo</w:t>
            </w:r>
          </w:p>
          <w:p w14:paraId="5F94923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kultura Horodistea-Foltesti</w:t>
            </w:r>
          </w:p>
          <w:p w14:paraId="61BA3EF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13. INDOEUROPSKA EKSPANZIJA U JUGOISTOČNU EUROPU – arheološke potvrde</w:t>
            </w:r>
          </w:p>
          <w:p w14:paraId="410E74A7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Cernavoda kultura</w:t>
            </w:r>
          </w:p>
          <w:p w14:paraId="629E0C39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druge pojave indoeuropskog karaktera</w:t>
            </w:r>
          </w:p>
          <w:p w14:paraId="6447D393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14. ENEOLITIK – povijesna interpretacija</w:t>
            </w:r>
          </w:p>
          <w:p w14:paraId="328CABAF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društvo</w:t>
            </w:r>
          </w:p>
          <w:p w14:paraId="59A3270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privreda</w:t>
            </w:r>
          </w:p>
          <w:p w14:paraId="631CF1D6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15. ENEOLITIK – povijesna interpretacija</w:t>
            </w:r>
          </w:p>
          <w:p w14:paraId="687684B8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sz w:val="16"/>
                <w:szCs w:val="16"/>
              </w:rPr>
              <w:t>- religija</w:t>
            </w:r>
          </w:p>
          <w:p w14:paraId="25CE68DA" w14:textId="77777777" w:rsidR="00D41A85" w:rsidRPr="00CF130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SEMINARI:</w:t>
            </w:r>
          </w:p>
          <w:p w14:paraId="7A993D25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Halkollitik Anatolije</w:t>
            </w:r>
          </w:p>
          <w:p w14:paraId="63CBBF5B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Kultura Cucuteni-Tripolie</w:t>
            </w:r>
          </w:p>
          <w:p w14:paraId="1A78FD46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Kultura Gumelnita-KOdžaderman-Karanovo VI</w:t>
            </w:r>
          </w:p>
          <w:p w14:paraId="2E991988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Salcuta-Krivodol-Bubanj-Huma kultura</w:t>
            </w:r>
          </w:p>
          <w:p w14:paraId="42754B9A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Varna kultura</w:t>
            </w:r>
          </w:p>
          <w:p w14:paraId="28E21A94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Tisapolgar, Bodrokerestur i Vajskahunyadihalom kultura</w:t>
            </w:r>
          </w:p>
          <w:p w14:paraId="05226C1F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Lasinjska kulura</w:t>
            </w:r>
          </w:p>
          <w:p w14:paraId="149A9843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Retz-gajary i Cotofeni kultura</w:t>
            </w:r>
          </w:p>
          <w:p w14:paraId="09D00242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Badenska kultura</w:t>
            </w:r>
          </w:p>
          <w:p w14:paraId="0BF34F22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Kostolačka kultura</w:t>
            </w:r>
          </w:p>
          <w:p w14:paraId="102F84D3" w14:textId="77777777" w:rsidR="00D41A85" w:rsidRPr="00CF130A" w:rsidRDefault="00D41A85" w:rsidP="00D41A85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Vučedolska kultura</w:t>
            </w:r>
          </w:p>
          <w:p w14:paraId="6E3A408E" w14:textId="0A075258" w:rsidR="00D41A85" w:rsidRPr="002B777A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F130A">
              <w:rPr>
                <w:rFonts w:ascii="Merriweather" w:eastAsia="MS Gothic" w:hAnsi="Merriweather"/>
                <w:i/>
                <w:sz w:val="16"/>
                <w:szCs w:val="16"/>
              </w:rPr>
              <w:t>Eneolitik na području istočnog Jadrana</w:t>
            </w:r>
          </w:p>
        </w:tc>
      </w:tr>
      <w:tr w:rsidR="00D41A85" w:rsidRPr="0017531F" w14:paraId="3D0DF717" w14:textId="77777777" w:rsidTr="00830B58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03398FBB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B. Marijanović, Ravlića pećina, Mostar, 2012.</w:t>
            </w:r>
            <w:r w:rsidRPr="00D41A85">
              <w:rPr>
                <w:rFonts w:ascii="Merriweather" w:eastAsia="MS Gothic" w:hAnsi="Merriweather"/>
                <w:sz w:val="16"/>
                <w:szCs w:val="16"/>
              </w:rPr>
              <w:tab/>
            </w:r>
          </w:p>
          <w:p w14:paraId="524BAA03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B. Marijanović, Eneolitik i eneolitičke kulture u Bosni i Hercegovini, Mostar, 2003.</w:t>
            </w:r>
          </w:p>
          <w:p w14:paraId="3BC60DF5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Grupa autora, Praistorija jugoslavenskih zemalja, III (Eneolit), Sarajevo 1979.</w:t>
            </w:r>
          </w:p>
          <w:p w14:paraId="38124AD1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D. W. Anthony, TheHorse, the Wheel, andLanguage: HowBronze-Age RidersfromtheEurasianSteppesShapedtheModern World, PrincetonUniversityPress, 2007.</w:t>
            </w:r>
          </w:p>
          <w:p w14:paraId="30CD1376" w14:textId="14FD0386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Durman, Metalurgija vučedolskog kulturnog kompleksa, OpusculaArchaeologica 7, Zagreb, 1983.</w:t>
            </w:r>
          </w:p>
          <w:p w14:paraId="4670600C" w14:textId="2C7161FC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Durman, Metal u vučedolskom kulturnom kompleksu, Vučedol, Zagreb, 1988.</w:t>
            </w:r>
          </w:p>
          <w:p w14:paraId="0B89B5BE" w14:textId="60217F74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James P. Mallory, Indoeuropljani – zagonetka njihova podrijetla, Školska knjiga, Zagreb, 2006.</w:t>
            </w:r>
          </w:p>
        </w:tc>
      </w:tr>
      <w:tr w:rsidR="00D41A85" w:rsidRPr="0017531F" w14:paraId="4FA6F90E" w14:textId="77777777" w:rsidTr="00830B58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A8657C1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H. Müller-Karpe, Handbuch der Vorgeschichte, Band II &amp; III, München, 1974. Atlas duNeolithiqueeuropeen, Liege,1993.</w:t>
            </w:r>
          </w:p>
          <w:p w14:paraId="3EE18059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M. Gimbutas, The Kurgan Culture and the Indo-Europeization of Europe, Edited by Miriam Robbins Dexter and KarleneJones-Bley. Journal of Indo-European Studies Monograph no. 18. Washington, D.C. Institute for the Study of Man, 1997.</w:t>
            </w:r>
          </w:p>
          <w:p w14:paraId="6C05BA82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N. Tasić, Eneolithic cultures of central and west Balkans, Beograd, 1995.</w:t>
            </w:r>
          </w:p>
          <w:p w14:paraId="32D107CF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D. Šljivar, The earliest copper metallurgy in the central Balkans, JOURNAL OF METALLURGY, 2006.</w:t>
            </w:r>
          </w:p>
          <w:p w14:paraId="18257056" w14:textId="77777777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 xml:space="preserve">K. Rassmann et al., High precision Tripolye settlement plans, demographic estimations and settlement organization, Journal of Neolithic Archaeology, 2014. </w:t>
            </w:r>
          </w:p>
          <w:p w14:paraId="63D07860" w14:textId="6F534870" w:rsidR="00D41A85" w:rsidRPr="00D41A85" w:rsidRDefault="00D41A85" w:rsidP="00D41A85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A85">
              <w:rPr>
                <w:rFonts w:ascii="Merriweather" w:eastAsia="MS Gothic" w:hAnsi="Merriweather"/>
                <w:sz w:val="16"/>
                <w:szCs w:val="16"/>
              </w:rPr>
              <w:t>I. Bognar-Kutzian, The Early Copper Age, Tiszapolgar Culture in Carpatian Basin, Budapest, 1972.</w:t>
            </w:r>
          </w:p>
        </w:tc>
      </w:tr>
      <w:tr w:rsidR="00D41A85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085190C5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www. academia.edu; www.researchgate.com; </w:t>
            </w:r>
          </w:p>
        </w:tc>
      </w:tr>
      <w:tr w:rsidR="00D41A85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41A85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BA267E0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8685B9F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41A85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4338FD4E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41A85" w:rsidRPr="0017531F" w:rsidRDefault="00D41A85" w:rsidP="00D41A8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41A85" w:rsidRPr="0017531F" w:rsidRDefault="00D41A85" w:rsidP="00D41A8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41A85" w:rsidRPr="0017531F" w:rsidRDefault="00D41A85" w:rsidP="00D41A85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41A8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6D2D6966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B777A">
              <w:rPr>
                <w:rFonts w:ascii="Merriweather" w:eastAsia="MS Gothic" w:hAnsi="Merriweather" w:cs="Times New Roman"/>
                <w:sz w:val="16"/>
                <w:szCs w:val="16"/>
              </w:rPr>
              <w:t>10% seminarski rad, 90% završni ispit</w:t>
            </w:r>
          </w:p>
        </w:tc>
      </w:tr>
      <w:tr w:rsidR="00D41A8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41A8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41A8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41A8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41A8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D41A8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41A8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41A85" w:rsidRPr="0017531F" w:rsidRDefault="00D41A85" w:rsidP="00D41A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41A85" w:rsidRPr="0017531F" w:rsidRDefault="00D41A85" w:rsidP="00D41A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64A1" w14:textId="77777777" w:rsidR="005E3978" w:rsidRDefault="005E3978" w:rsidP="009947BA">
      <w:pPr>
        <w:spacing w:before="0" w:after="0"/>
      </w:pPr>
      <w:r>
        <w:separator/>
      </w:r>
    </w:p>
  </w:endnote>
  <w:endnote w:type="continuationSeparator" w:id="0">
    <w:p w14:paraId="39B8503D" w14:textId="77777777" w:rsidR="005E3978" w:rsidRDefault="005E397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4FA7" w14:textId="77777777" w:rsidR="005E3978" w:rsidRDefault="005E3978" w:rsidP="009947BA">
      <w:pPr>
        <w:spacing w:before="0" w:after="0"/>
      </w:pPr>
      <w:r>
        <w:separator/>
      </w:r>
    </w:p>
  </w:footnote>
  <w:footnote w:type="continuationSeparator" w:id="0">
    <w:p w14:paraId="1B2AB313" w14:textId="77777777" w:rsidR="005E3978" w:rsidRDefault="005E397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C22"/>
    <w:multiLevelType w:val="hybridMultilevel"/>
    <w:tmpl w:val="AE94D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720"/>
    <w:multiLevelType w:val="hybridMultilevel"/>
    <w:tmpl w:val="5A5A9B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C574C"/>
    <w:multiLevelType w:val="hybridMultilevel"/>
    <w:tmpl w:val="B19054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810EF"/>
    <w:multiLevelType w:val="hybridMultilevel"/>
    <w:tmpl w:val="A0F68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7D07"/>
    <w:multiLevelType w:val="hybridMultilevel"/>
    <w:tmpl w:val="8F24F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06E1"/>
    <w:rsid w:val="00066709"/>
    <w:rsid w:val="000C0578"/>
    <w:rsid w:val="0010332B"/>
    <w:rsid w:val="001443A2"/>
    <w:rsid w:val="00150B32"/>
    <w:rsid w:val="00167AFF"/>
    <w:rsid w:val="0017531F"/>
    <w:rsid w:val="00186E66"/>
    <w:rsid w:val="00197510"/>
    <w:rsid w:val="001C7C51"/>
    <w:rsid w:val="002050C9"/>
    <w:rsid w:val="00226462"/>
    <w:rsid w:val="0022722C"/>
    <w:rsid w:val="0028545A"/>
    <w:rsid w:val="002B777A"/>
    <w:rsid w:val="002E1CE6"/>
    <w:rsid w:val="002F2D22"/>
    <w:rsid w:val="00310F9A"/>
    <w:rsid w:val="00326091"/>
    <w:rsid w:val="00327667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397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236FF"/>
    <w:rsid w:val="009760E8"/>
    <w:rsid w:val="009947BA"/>
    <w:rsid w:val="00997F41"/>
    <w:rsid w:val="009A3A9D"/>
    <w:rsid w:val="009C2228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1D5"/>
    <w:rsid w:val="00CA3783"/>
    <w:rsid w:val="00CB23F4"/>
    <w:rsid w:val="00D04033"/>
    <w:rsid w:val="00D136E4"/>
    <w:rsid w:val="00D41A85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7111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93787-F706-47D9-B35E-BE907E32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3</cp:revision>
  <cp:lastPrinted>2021-02-12T11:27:00Z</cp:lastPrinted>
  <dcterms:created xsi:type="dcterms:W3CDTF">2024-09-10T07:13:00Z</dcterms:created>
  <dcterms:modified xsi:type="dcterms:W3CDTF">2024-09-10T07:18:00Z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