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AE0DB3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7DF245B" w:rsidR="004B553E" w:rsidRPr="0017531F" w:rsidRDefault="00FD12D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D12D5"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7B1C6B7" w:rsidR="004B553E" w:rsidRPr="0017531F" w:rsidRDefault="00FD12D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D12D5">
              <w:rPr>
                <w:rFonts w:ascii="Merriweather" w:hAnsi="Merriweather" w:cs="Times New Roman"/>
                <w:b/>
                <w:sz w:val="18"/>
                <w:szCs w:val="18"/>
              </w:rPr>
              <w:t>Osnove arheologije novog vijeka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A5CB993" w:rsidR="004B553E" w:rsidRPr="0017531F" w:rsidRDefault="008E57B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7CAB945" w:rsidR="004B553E" w:rsidRPr="0017531F" w:rsidRDefault="00FD12D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D12D5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ij</w:t>
            </w:r>
            <w:r w:rsidRPr="00FD12D5">
              <w:rPr>
                <w:rFonts w:ascii="Merriweather" w:hAnsi="Merriweather" w:cs="Times New Roman"/>
                <w:b/>
                <w:sz w:val="18"/>
                <w:szCs w:val="18"/>
              </w:rPr>
              <w:t>ediplomski studij arheologije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1995CAD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4DE9D724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0B52E65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1EDC7DB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480A673E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533ACE61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24042DB" w:rsidR="00453362" w:rsidRPr="0017531F" w:rsidRDefault="00FD12D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45A3635" w:rsidR="00453362" w:rsidRPr="0017531F" w:rsidRDefault="00FD12D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3DE36D2" w:rsidR="00453362" w:rsidRPr="0017531F" w:rsidRDefault="00FD12D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99D69F2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1DF6C70" w14:textId="77777777" w:rsidR="00FD12D5" w:rsidRPr="00FD12D5" w:rsidRDefault="00FD12D5" w:rsidP="00FD12D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D12D5">
              <w:rPr>
                <w:rFonts w:ascii="Merriweather" w:hAnsi="Merriweather" w:cs="Times New Roman"/>
                <w:sz w:val="16"/>
                <w:szCs w:val="16"/>
              </w:rPr>
              <w:t>Učionica SK-013</w:t>
            </w:r>
          </w:p>
          <w:p w14:paraId="7C1ED737" w14:textId="2EFB6836" w:rsidR="00453362" w:rsidRPr="0017531F" w:rsidRDefault="00FD12D5" w:rsidP="00FD12D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D12D5">
              <w:rPr>
                <w:rFonts w:ascii="Merriweather" w:hAnsi="Merriweather" w:cs="Times New Roman"/>
                <w:sz w:val="16"/>
                <w:szCs w:val="16"/>
              </w:rPr>
              <w:t>UTO 16.00-1</w:t>
            </w:r>
            <w:r>
              <w:rPr>
                <w:rFonts w:ascii="Merriweather" w:hAnsi="Merriweather" w:cs="Times New Roman"/>
                <w:sz w:val="16"/>
                <w:szCs w:val="16"/>
              </w:rPr>
              <w:t>9</w:t>
            </w:r>
            <w:r w:rsidRPr="00FD12D5">
              <w:rPr>
                <w:rFonts w:ascii="Merriweather" w:hAnsi="Merriweather" w:cs="Times New Roman"/>
                <w:sz w:val="16"/>
                <w:szCs w:val="16"/>
              </w:rPr>
              <w:t>.00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43CD2E9" w:rsidR="00453362" w:rsidRPr="0017531F" w:rsidRDefault="00FD12D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E09405C" w:rsidR="00453362" w:rsidRPr="0017531F" w:rsidRDefault="00FD12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8.10.2024.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1C89A9B" w:rsidR="00453362" w:rsidRPr="0017531F" w:rsidRDefault="00FD12D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14.1.2025.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9DCCAD3" w:rsidR="00453362" w:rsidRPr="0017531F" w:rsidRDefault="00FD12D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55BA">
              <w:rPr>
                <w:rFonts w:ascii="Merriweather" w:hAnsi="Merriweather" w:cs="Times New Roman"/>
                <w:sz w:val="18"/>
              </w:rPr>
              <w:t>Doc. dr. sc. Jure Šućur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714D4A7" w:rsidR="00453362" w:rsidRPr="0017531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FD12D5" w:rsidRPr="009E20BD">
                <w:rPr>
                  <w:rStyle w:val="Hyperlink"/>
                  <w:rFonts w:ascii="Merriweather" w:hAnsi="Merriweather" w:cs="Times New Roman"/>
                  <w:sz w:val="18"/>
                </w:rPr>
                <w:t>jsucur@gmail.com</w:t>
              </w:r>
            </w:hyperlink>
            <w:r w:rsidR="00FD12D5">
              <w:rPr>
                <w:rFonts w:ascii="Merriweather" w:hAnsi="Merriweather" w:cs="Times New Roman"/>
                <w:sz w:val="18"/>
              </w:rPr>
              <w:t xml:space="preserve">; </w:t>
            </w:r>
            <w:hyperlink r:id="rId11" w:history="1">
              <w:r w:rsidR="00FD12D5" w:rsidRPr="009E20BD">
                <w:rPr>
                  <w:rStyle w:val="Hyperlink"/>
                  <w:rFonts w:ascii="Merriweather" w:hAnsi="Merriweather" w:cs="Times New Roman"/>
                  <w:sz w:val="18"/>
                </w:rPr>
                <w:t>jsucur@unizd.hr</w:t>
              </w:r>
            </w:hyperlink>
            <w:r w:rsidR="00FD12D5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B4F0F21" w:rsidR="00453362" w:rsidRPr="0017531F" w:rsidRDefault="00FD12D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55BA">
              <w:rPr>
                <w:rFonts w:ascii="Merriweather" w:hAnsi="Merriweather" w:cs="Times New Roman"/>
                <w:sz w:val="18"/>
              </w:rPr>
              <w:t>PON 14.00-15.00 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BF882AB" w:rsidR="00453362" w:rsidRPr="0017531F" w:rsidRDefault="00FD12D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55BA">
              <w:rPr>
                <w:rFonts w:ascii="Merriweather" w:hAnsi="Merriweather" w:cs="Times New Roman"/>
                <w:sz w:val="18"/>
              </w:rPr>
              <w:t>Doc. dr. sc. Jure Šućur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5B8D278" w:rsidR="00453362" w:rsidRPr="0017531F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FD12D5" w:rsidRPr="009E20BD">
                <w:rPr>
                  <w:rStyle w:val="Hyperlink"/>
                  <w:rFonts w:ascii="Merriweather" w:hAnsi="Merriweather" w:cs="Times New Roman"/>
                  <w:sz w:val="18"/>
                </w:rPr>
                <w:t>jsucur@gmail.com</w:t>
              </w:r>
            </w:hyperlink>
            <w:r w:rsidR="00FD12D5">
              <w:rPr>
                <w:rFonts w:ascii="Merriweather" w:hAnsi="Merriweather" w:cs="Times New Roman"/>
                <w:sz w:val="18"/>
              </w:rPr>
              <w:t xml:space="preserve">; </w:t>
            </w:r>
            <w:hyperlink r:id="rId13" w:history="1">
              <w:r w:rsidR="00FD12D5" w:rsidRPr="009E20BD">
                <w:rPr>
                  <w:rStyle w:val="Hyperlink"/>
                  <w:rFonts w:ascii="Merriweather" w:hAnsi="Merriweather" w:cs="Times New Roman"/>
                  <w:sz w:val="18"/>
                </w:rPr>
                <w:t>jsucur@unizd.hr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5B7E8967" w:rsidR="00453362" w:rsidRPr="0017531F" w:rsidRDefault="00FD12D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C55BA">
              <w:rPr>
                <w:rFonts w:ascii="Merriweather" w:hAnsi="Merriweather" w:cs="Times New Roman"/>
                <w:sz w:val="18"/>
              </w:rPr>
              <w:t>PON 14.00-15.00 h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F127F36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A239B08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1D2FEE0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46F837C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8"/>
              </w:rPr>
            </w:pPr>
            <w:r w:rsidRPr="00FC55BA">
              <w:rPr>
                <w:rFonts w:ascii="Merriweather" w:hAnsi="Merriweather" w:cs="Times New Roman"/>
                <w:b/>
                <w:bCs/>
                <w:sz w:val="18"/>
              </w:rPr>
              <w:t>Nakon položenog ispita iz ovoga kolegija studenti će biti sposobni za razumijevanje i znanstvenu valorizaciju arheološke baštine novog vijeka kroz:</w:t>
            </w:r>
          </w:p>
          <w:p w14:paraId="6513E823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C55BA">
              <w:rPr>
                <w:rFonts w:ascii="Merriweather" w:hAnsi="Merriweather" w:cs="Times New Roman"/>
                <w:sz w:val="18"/>
              </w:rPr>
              <w:t>- poznavanje osnovnih pojmova novovjekovne arheologije i njenog povijesnog razvitka</w:t>
            </w:r>
          </w:p>
          <w:p w14:paraId="47BD7A7B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C55BA">
              <w:rPr>
                <w:rFonts w:ascii="Merriweather" w:hAnsi="Merriweather" w:cs="Times New Roman"/>
                <w:sz w:val="18"/>
              </w:rPr>
              <w:t>- poznavanje kulturno-povijesne situacije u Europi i Hrvatskoj u navedenom razdoblju i njezinog utjecaja na arheološku baštinu</w:t>
            </w:r>
          </w:p>
          <w:p w14:paraId="4B108C83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C55BA">
              <w:rPr>
                <w:rFonts w:ascii="Merriweather" w:hAnsi="Merriweather" w:cs="Times New Roman"/>
                <w:sz w:val="18"/>
              </w:rPr>
              <w:t xml:space="preserve">- poznavanje povijesno-umjetničkih razdoblja i njihovih osobitosti </w:t>
            </w:r>
          </w:p>
          <w:p w14:paraId="54EB5089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C55BA">
              <w:rPr>
                <w:rFonts w:ascii="Merriweather" w:hAnsi="Merriweather" w:cs="Times New Roman"/>
                <w:sz w:val="18"/>
              </w:rPr>
              <w:t>- proučavanje različitih vrsta nalazišta i njihovih karakteristika: kopnena (naselja, fortifikacije, sakralni kompleksi, groblja) i podvodna nalazišta</w:t>
            </w:r>
          </w:p>
          <w:p w14:paraId="627D7487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C55BA">
              <w:rPr>
                <w:rFonts w:ascii="Merriweather" w:hAnsi="Merriweather" w:cs="Times New Roman"/>
                <w:sz w:val="18"/>
              </w:rPr>
              <w:t>- poznavanje razvoja pojedinih predmeta pokretne materijalne kulture (oružje, oruđe, dijelovi nošnje i sl.).</w:t>
            </w:r>
          </w:p>
          <w:p w14:paraId="01EC5A4E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63510E18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8"/>
              </w:rPr>
            </w:pPr>
            <w:r w:rsidRPr="00FC55BA">
              <w:rPr>
                <w:rFonts w:ascii="Merriweather" w:hAnsi="Merriweather" w:cs="Times New Roman"/>
                <w:b/>
                <w:bCs/>
                <w:sz w:val="18"/>
              </w:rPr>
              <w:t>Studenti će prepoznavati:</w:t>
            </w:r>
          </w:p>
          <w:p w14:paraId="37968B8F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C55BA">
              <w:rPr>
                <w:rFonts w:ascii="Merriweather" w:hAnsi="Merriweather" w:cs="Times New Roman"/>
                <w:sz w:val="18"/>
              </w:rPr>
              <w:t>- različite vrste sitnih arheoloških nalaza: oružje, metalni predmeti (predmeti svakodnevne upotrebe, nakit i dijelovi nošnje), keramički (posuđe, predmeti svakodnevne namjene, dijelovi arhitektonske dekoracije) i stakleni nalazi (posuđe, predmeti svakodnevne namjene, nakit).</w:t>
            </w:r>
          </w:p>
          <w:p w14:paraId="2574B974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09FB5C14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8"/>
              </w:rPr>
            </w:pPr>
            <w:r w:rsidRPr="00FC55BA">
              <w:rPr>
                <w:rFonts w:ascii="Merriweather" w:hAnsi="Merriweather" w:cs="Times New Roman"/>
                <w:b/>
                <w:bCs/>
                <w:sz w:val="18"/>
              </w:rPr>
              <w:t>Studenti će razumjeti:</w:t>
            </w:r>
          </w:p>
          <w:p w14:paraId="13E2A08B" w14:textId="0B0822F1" w:rsidR="00310F9A" w:rsidRPr="0017531F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FC55BA">
              <w:rPr>
                <w:rFonts w:ascii="Merriweather" w:hAnsi="Merriweather" w:cs="Times New Roman"/>
                <w:sz w:val="18"/>
              </w:rPr>
              <w:t>- način života i njegova odraza na arheološke nalaze u novovjekovnom dobu (kultura življenja, vjera, pogrebni običaji), s posebnim naglaskom na prostor Europe.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03F695AB" w:rsidR="00310F9A" w:rsidRPr="0017531F" w:rsidRDefault="00FD12D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30424">
              <w:rPr>
                <w:rFonts w:ascii="Merriweather" w:hAnsi="Merriweather" w:cs="Times New Roman"/>
                <w:sz w:val="18"/>
              </w:rPr>
              <w:t>Na razini preddiplomskog studija studenti će biti upoznati s posljednjim i najmlađim razdobljem u arheološkim istraživanjima. Kroz brojne primjere istraživanja ovog razdoblja potvrđuje se važnost pravilne primjene općih i specifičnih metodoloških postupaka i znanstvene objektivnosti.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A14E22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02DDB27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43B6D8F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50D4C7DE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5A0AB52F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CAAB14B" w:rsidR="00FC2198" w:rsidRPr="0017531F" w:rsidRDefault="00FD12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 i izrada projektnog zadatka.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DEC1AA5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E72241F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56A49E4" w:rsidR="00FC2198" w:rsidRPr="0017531F" w:rsidRDefault="00FD12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D12D5">
              <w:rPr>
                <w:rFonts w:ascii="Merriweather" w:hAnsi="Merriweather" w:cs="Times New Roman"/>
                <w:sz w:val="16"/>
                <w:szCs w:val="16"/>
              </w:rPr>
              <w:t>https://arheologija.unizd.hr/ispitni-rokovi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59E2701D" w:rsidR="00FC2198" w:rsidRPr="0017531F" w:rsidRDefault="00FD12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D12D5">
              <w:rPr>
                <w:rFonts w:ascii="Merriweather" w:hAnsi="Merriweather" w:cs="Times New Roman"/>
                <w:sz w:val="16"/>
                <w:szCs w:val="16"/>
              </w:rPr>
              <w:t>https://arheologija.unizd.hr/ispitni-rokovi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98D518D" w:rsidR="00FC2198" w:rsidRPr="0017531F" w:rsidRDefault="00FD12D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Kolegij obrađuje problematiku novovjekovne arheologije s posebnim naglaskom na prostor Europe kroz opći kulturno-povijesni i umjetnički razvoj uz primjere najznačajnijih lokaliteta s ostatcima naselja, utvrda i grobalja, ali i brodoloma. Posebna pažnja posvetit će se predmetima vezanim uz vjerski život i grobne običaje (krunice, devocionalije) kao i ostalim pokretnim arheološkim nalazima (keramika: stolno posuđe, lule, pećnjaci; staklo; metal: upotrebni predmeti, dijelovi nošnje, nakit, oružje).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526EB2A" w14:textId="77777777" w:rsidR="00FD12D5" w:rsidRPr="00FC55BA" w:rsidRDefault="00FD12D5" w:rsidP="00FD12D5">
            <w:pPr>
              <w:tabs>
                <w:tab w:val="left" w:pos="349"/>
              </w:tabs>
              <w:spacing w:before="20" w:after="20"/>
              <w:ind w:left="349" w:hanging="283"/>
              <w:rPr>
                <w:rFonts w:ascii="Merriweather" w:eastAsia="MS Gothic" w:hAnsi="Merriweather" w:cs="Times New Roman"/>
                <w:sz w:val="18"/>
              </w:rPr>
            </w:pPr>
            <w:bookmarkStart w:id="0" w:name="_Hlk129280418"/>
            <w:r w:rsidRPr="00FC55BA">
              <w:rPr>
                <w:rFonts w:ascii="Merriweather" w:eastAsia="MS Gothic" w:hAnsi="Merriweather" w:cs="Times New Roman"/>
                <w:sz w:val="18"/>
              </w:rPr>
              <w:t>1.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ab/>
              <w:t xml:space="preserve">Uvodni sat. Upoznavanje sa sadržajem kolegija. </w:t>
            </w:r>
          </w:p>
          <w:p w14:paraId="11186A53" w14:textId="77777777" w:rsidR="00FD12D5" w:rsidRPr="00FC55BA" w:rsidRDefault="00FD12D5" w:rsidP="00FD12D5">
            <w:pPr>
              <w:tabs>
                <w:tab w:val="left" w:pos="349"/>
              </w:tabs>
              <w:spacing w:before="20" w:after="20"/>
              <w:ind w:left="349" w:hanging="283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2.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ab/>
              <w:t>Povijesno-kulturna  i povijesno-umjetnička zbivanja u Europi. Povijesni kontekst ranog novog vijeka. Pregled zbivanja u Europi od 16. do 18. stoljeća.</w:t>
            </w:r>
          </w:p>
          <w:p w14:paraId="70B3B13D" w14:textId="77777777" w:rsidR="00FD12D5" w:rsidRPr="00FC55BA" w:rsidRDefault="00FD12D5" w:rsidP="00FD12D5">
            <w:pPr>
              <w:tabs>
                <w:tab w:val="left" w:pos="349"/>
              </w:tabs>
              <w:spacing w:before="20" w:after="20"/>
              <w:ind w:left="349" w:hanging="283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3.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ab/>
              <w:t>Povijesno-kulturna i povijesno-umjetnička zbivanja u Europi. Povijesni kontekst kasnog novog vijeka. Pregled zbivanja u Europi od 18. do 20. st.</w:t>
            </w:r>
          </w:p>
          <w:p w14:paraId="38A36F1E" w14:textId="77777777" w:rsidR="00FD12D5" w:rsidRPr="00FC55BA" w:rsidRDefault="00FD12D5" w:rsidP="00FD12D5">
            <w:pPr>
              <w:tabs>
                <w:tab w:val="left" w:pos="349"/>
              </w:tabs>
              <w:spacing w:before="20" w:after="20"/>
              <w:ind w:left="349" w:hanging="283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4.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ab/>
              <w:t>Uvod u problematiku arheologije novog vijeka, terminologija, periodizacija. Temeljne vrste nalazišta i nalaza.</w:t>
            </w:r>
          </w:p>
          <w:p w14:paraId="70EA9269" w14:textId="77777777" w:rsidR="00FD12D5" w:rsidRPr="00FC55BA" w:rsidRDefault="00FD12D5" w:rsidP="00FD12D5">
            <w:pPr>
              <w:tabs>
                <w:tab w:val="left" w:pos="349"/>
              </w:tabs>
              <w:spacing w:before="20" w:after="20"/>
              <w:ind w:left="349" w:hanging="283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5.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ab/>
              <w:t>Multidisciplinarnost u arheologiji novog vijeka</w:t>
            </w:r>
          </w:p>
          <w:p w14:paraId="71FFAF0B" w14:textId="77777777" w:rsidR="00FD12D5" w:rsidRPr="00FC55BA" w:rsidRDefault="00FD12D5" w:rsidP="00FD12D5">
            <w:pPr>
              <w:tabs>
                <w:tab w:val="left" w:pos="349"/>
              </w:tabs>
              <w:spacing w:before="20" w:after="20"/>
              <w:ind w:left="349" w:hanging="283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6.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ab/>
              <w:t>Pokretni nalazi I.</w:t>
            </w:r>
          </w:p>
          <w:p w14:paraId="78EB1E39" w14:textId="77777777" w:rsidR="00FD12D5" w:rsidRPr="00FC55BA" w:rsidRDefault="00FD12D5" w:rsidP="00FD12D5">
            <w:pPr>
              <w:tabs>
                <w:tab w:val="left" w:pos="349"/>
              </w:tabs>
              <w:spacing w:before="20" w:after="20"/>
              <w:ind w:left="349" w:hanging="283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7.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ab/>
              <w:t>Pokretni nalazi II.</w:t>
            </w:r>
          </w:p>
          <w:p w14:paraId="6EF359D4" w14:textId="77777777" w:rsidR="00FD12D5" w:rsidRPr="00FC55BA" w:rsidRDefault="00FD12D5" w:rsidP="00FD12D5">
            <w:pPr>
              <w:tabs>
                <w:tab w:val="left" w:pos="349"/>
              </w:tabs>
              <w:spacing w:before="20" w:after="20"/>
              <w:ind w:left="349" w:hanging="283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8.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ab/>
              <w:t>Ratovanje u ranom novom vijeku. Oružje i fortifikacije, povijesni razvoj i promjene u načinu ratovanja.</w:t>
            </w:r>
          </w:p>
          <w:p w14:paraId="08CA143A" w14:textId="77777777" w:rsidR="00FD12D5" w:rsidRPr="00FC55BA" w:rsidRDefault="00FD12D5" w:rsidP="00FD12D5">
            <w:pPr>
              <w:tabs>
                <w:tab w:val="left" w:pos="349"/>
              </w:tabs>
              <w:spacing w:before="20" w:after="20"/>
              <w:ind w:left="349" w:hanging="283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9.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ab/>
              <w:t>Ratovanje u kasnom novom vijeku. Oružje i fortifikacije, povijesni razvoj i promjene u načinu ratovanja.</w:t>
            </w:r>
          </w:p>
          <w:p w14:paraId="4B76B270" w14:textId="77777777" w:rsidR="00FD12D5" w:rsidRPr="00FC55BA" w:rsidRDefault="00FD12D5" w:rsidP="00FD12D5">
            <w:pPr>
              <w:tabs>
                <w:tab w:val="left" w:pos="349"/>
              </w:tabs>
              <w:spacing w:before="20" w:after="20"/>
              <w:ind w:left="349" w:hanging="283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10.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ab/>
              <w:t>Devocionalije.</w:t>
            </w:r>
          </w:p>
          <w:p w14:paraId="23A84376" w14:textId="77777777" w:rsidR="00FD12D5" w:rsidRPr="00FC55BA" w:rsidRDefault="00FD12D5" w:rsidP="00FD12D5">
            <w:pPr>
              <w:tabs>
                <w:tab w:val="left" w:pos="349"/>
              </w:tabs>
              <w:spacing w:before="20" w:after="20"/>
              <w:ind w:left="349" w:hanging="283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11.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ab/>
              <w:t>Funeralna arheologija novog vijeka. Groblja, rituali, grobni nalazi.</w:t>
            </w:r>
          </w:p>
          <w:p w14:paraId="0930D85E" w14:textId="77777777" w:rsidR="00FD12D5" w:rsidRPr="00FC55BA" w:rsidRDefault="00FD12D5" w:rsidP="00FD12D5">
            <w:pPr>
              <w:tabs>
                <w:tab w:val="left" w:pos="349"/>
              </w:tabs>
              <w:spacing w:before="20" w:after="20"/>
              <w:ind w:left="349" w:hanging="283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12.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ab/>
              <w:t>Maritimna arheologija novog vijeka</w:t>
            </w:r>
          </w:p>
          <w:p w14:paraId="31E9411A" w14:textId="77777777" w:rsidR="00FD12D5" w:rsidRPr="00FC55BA" w:rsidRDefault="00FD12D5" w:rsidP="00FD12D5">
            <w:pPr>
              <w:tabs>
                <w:tab w:val="left" w:pos="349"/>
              </w:tabs>
              <w:spacing w:before="20" w:after="20"/>
              <w:ind w:left="349" w:hanging="283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13.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ab/>
              <w:t xml:space="preserve">Osmanska arheologija. </w:t>
            </w:r>
          </w:p>
          <w:p w14:paraId="5C7349B3" w14:textId="77777777" w:rsidR="00FD12D5" w:rsidRPr="00FC55BA" w:rsidRDefault="00FD12D5" w:rsidP="00FD12D5">
            <w:pPr>
              <w:tabs>
                <w:tab w:val="left" w:pos="349"/>
              </w:tabs>
              <w:spacing w:before="20" w:after="20"/>
              <w:ind w:left="349" w:hanging="283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14.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ab/>
              <w:t>Obilazak grada.</w:t>
            </w:r>
          </w:p>
          <w:p w14:paraId="4DDF4E43" w14:textId="77777777" w:rsidR="00FD12D5" w:rsidRPr="00FC55BA" w:rsidRDefault="00FD12D5" w:rsidP="00FD12D5">
            <w:pPr>
              <w:tabs>
                <w:tab w:val="left" w:pos="349"/>
              </w:tabs>
              <w:spacing w:before="20" w:after="20"/>
              <w:ind w:left="349" w:hanging="283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15.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ab/>
              <w:t>Zaključna razmatranja.</w:t>
            </w:r>
          </w:p>
          <w:bookmarkEnd w:id="0"/>
          <w:p w14:paraId="0ACA524F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E3A408E" w14:textId="0EC45EBE" w:rsidR="00FC2198" w:rsidRPr="0017531F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Umjesto seminara studenti planiraju i kratko izlažu projekt istraživanja po vlastitom izboru teme koja je vezana uz sadržaj kolegija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ili provode drugi sličan projektni zadatak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ADE28AF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AZINOVIĆ BEBEK, A., 2012. – Ana Azinović Bebek, Novovjekovni nabožni predmeti nađeni prilikom arheoloških istraživanja na lokalitetima sjeverozapadne Hrvatske (disertacija), Zagreb.</w:t>
            </w:r>
          </w:p>
          <w:p w14:paraId="27CB9353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AZINOVIĆ BEBEK, A., 2018. – Ana Azinović Bebek, Novovjekovna arheologija u Hrvatskoj – problemi metodologije, terminologije i imena, Prilozi Instituta za arheologiju, 35/2018, Zagreb, 299-319.</w:t>
            </w:r>
          </w:p>
          <w:p w14:paraId="47DF9126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AZINOVIĆ BEBEK, A., et al. 2017. – Ana Azinović Bebek, Tihi svjedoci vjere, baštine i raskoši : konzervatorsko-restauratorski radovi Crkva sv. Nikole biskupa u Žumberku, Zagreb. [odgovarajuća poglavlja, str. 32-61, 66-101]</w:t>
            </w:r>
          </w:p>
          <w:p w14:paraId="66D028E8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BEKIĆ, L., 2000. – Luka Bekić, Uvod u problematiku glinenih lula na području Hrvatske, Vjesnik Arheološkog muzeja u Zagrebu XXXII-XXXIII (1999-2000), Zagreb, 249-280.</w:t>
            </w:r>
          </w:p>
          <w:p w14:paraId="5ABE3EC5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BORČIĆ, G., 2012. – Goran Borčić, Zbirka oružja Muzeja grada Splita, Split. [odgovarajuća poglavlja]</w:t>
            </w:r>
          </w:p>
          <w:p w14:paraId="4F7AFA62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BURIĆ, T., 2007. – Tonči Burić, Najstariji nalazi krunica u Dalmaciji, Diadora, 22, Zadar, 255-288.</w:t>
            </w:r>
          </w:p>
          <w:p w14:paraId="3BE4743E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DEMO, Ž., 2013. – Željko Demo, Nekoliko misli i opažanja o pogrebnim običajima i pokapanju na groblju Drinovci-Greblje, Kultovi, mitovi i vjerovanja u Zagori, Split, 109-124.</w:t>
            </w:r>
          </w:p>
          <w:p w14:paraId="464C44EA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ENCYCLOPEDIA OF HISTORICAL ARCHAEOLOGY, 2005. – Encyclopedia of Historical Archaeology, London – New York. [odgovarajuća poglavlja]</w:t>
            </w:r>
          </w:p>
          <w:p w14:paraId="76FCAF67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GNALIĆ, 2013. – Gnalić. Blago potonulog broda iz 16. stoljeća, Zagreb.</w:t>
            </w:r>
          </w:p>
          <w:p w14:paraId="56E1FFEC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GUSAR K., 2010. – Karla Gusar, Kasnosrednjovjekovna i novovjekovna glazirana keramika na širem zadarskom području (disertacija), Zadar. [odgovarajuća poglavlja]</w:t>
            </w:r>
          </w:p>
          <w:p w14:paraId="3723E42A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HISTORICAL ARCHAEOLOGY, 1999. – Historical archaeology : back from the edge, London – New York. [odgovarajuća poglavlja, str. 1-66]</w:t>
            </w:r>
          </w:p>
          <w:p w14:paraId="76F4FA84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JURIŠIĆEV ZBORNIK, 2009. – Jurišićev zbornik. Zbornik radova u znak sjećanja na Marija Jurišića, Zagreb. [odgovarajuća poglavlja]</w:t>
            </w:r>
          </w:p>
          <w:p w14:paraId="2F3BA34C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KARAČ, Z., 2010. – Zlatko Karač, Tursko-islamska arhitektura i umjetnost, Hrvatska umjetnost. Povijest i spomenici, Zagreb, 394-415.</w:t>
            </w:r>
          </w:p>
          <w:p w14:paraId="1DF47281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KOVAČ, M., 2003. – Mario Kovač, Ubojite oštrice. Hladno oružje na području Hrvatske od IX. do kraja XVIII. stoljeća, Gornja Stubica. </w:t>
            </w:r>
          </w:p>
          <w:p w14:paraId="45D974D0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KRÁLÍKOVÁ, M., 2007. – Michaela Králíková, Pohřební ritus 16.–18. století na území střední Evropy (antropologicko–archeologická studie), Brno.</w:t>
            </w:r>
          </w:p>
          <w:p w14:paraId="42632102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KRZNAR, S., 2020. – Siniša Krznar, The reflection of folk beliefs in burial customs in the Early Modern period in northern Croatia, Beiträge zur Mittelalterarchäologie in Österreich, 35 (2019), Wien, 179-186.</w:t>
            </w:r>
          </w:p>
          <w:p w14:paraId="6FF63492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MEHLER, N., 2012. – Natascha Mehler, Written sources in post-medieval archaeology and the art of asking the right questions, Studies in Post-Medieval Archaeology 4, Prague, 11-24.</w:t>
            </w:r>
          </w:p>
          <w:p w14:paraId="534BC5FD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MIRILA, 2010. – Mirila. Kulturni fenomen, Ljubljana. [odgovarajuća poglavlja, str. 15-36, 63-93]</w:t>
            </w:r>
          </w:p>
          <w:p w14:paraId="1CF76BFB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PELC, M., 2012. – Milan Pelc, Povijest umjetnosti u Hrvatskoj, Zagreb. [odgovarajuća poglavlja, str. 189-363, 375-413]</w:t>
            </w:r>
          </w:p>
          <w:p w14:paraId="5AF63354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RENSHAW, L., POWERS, N., 2016. – Layla Renshaw, Natasha Powers, The archaeology of post-medieval death and burial, Post-Medieval Archaeology 50/1 (2016), London – Leeds, 159–177.</w:t>
            </w:r>
          </w:p>
          <w:p w14:paraId="321C11BB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SLUKAN-ALTIĆ, M., 2003. – Mirela Slukan-Altić, Povijesna kartografija : kartografski izvori u povijesnim znanostima, Zagreb. [odgovarajuća poglavlja]</w:t>
            </w:r>
          </w:p>
          <w:p w14:paraId="79E10234" w14:textId="77777777" w:rsidR="00FD12D5" w:rsidRPr="00FD12D5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ŽMEGAČ, A., 2000. – Andrej Žmegač, Bastioni kontinentalne Hrvatske : prilog poznavanju fortifikacijskoga graditeljstva u Hrvatskoj od 16. do 18. stoljeća, Zagreb.</w:t>
            </w:r>
          </w:p>
          <w:p w14:paraId="0B89B5BE" w14:textId="481E8BD6" w:rsidR="00FC2198" w:rsidRPr="0017531F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D12D5">
              <w:rPr>
                <w:rFonts w:ascii="Merriweather" w:eastAsia="MS Gothic" w:hAnsi="Merriweather" w:cs="Times New Roman"/>
                <w:sz w:val="16"/>
                <w:szCs w:val="16"/>
              </w:rPr>
              <w:t>ŽMEGAČ, A., 2009. – Andrej Žmegač, Bastioni jadranske Hrvatske, Zagreb.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6BB3A2D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AZINOVIĆ BEBEK, A., 2009. – Ana Azinović Bebek, Novovjekovni nalazi u grobovima 17. i 18. stoljeća oko crkve sv. Nikole Biskupa u Žumberku, Vjesnik Arheološkog muzeja u Zagrebu, 3.s., 42, Zagreb, 463-488.</w:t>
            </w:r>
          </w:p>
          <w:p w14:paraId="57B38C37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AZINOVIĆ BEBEK, A., 2009. – Ana Azinović Bebek, Križevi u novovjekovnim grobovima župne crkve Sv. Marije Magdalene u Čazmi, Prilozi Instituta za arheologiju u Zagrebu, 26/2009, Zagreb, 271-290.</w:t>
            </w:r>
          </w:p>
          <w:p w14:paraId="1E16F8D8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BEKIĆ, L., 2014. – Luka Bekić, Novovjekovno staklo iz podmorja Istre i Dalmacije, Zadar.</w:t>
            </w:r>
          </w:p>
          <w:p w14:paraId="7255284B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BELAJ, J., 2006. Juraj Belaj, Interpretiranje novovjekovnih nalaza iz grobne crkve Sv. Martina u Prozorju, Prilozi Instituta za arheologiju u Zagrebu 23/2006, Zagreb, 257-294.</w:t>
            </w:r>
          </w:p>
          <w:p w14:paraId="47F7BD6E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BOŠKOVIĆ, D., 2018. – Dora Bošković, Priprema, pozor pali! - Europske vojničke puške u Zbirci oružja Hrvatskog povijesnog muzeja, Zagreb. [odgovarajući opći dijelovi, str. 20-40, 49-74, 100-130, 157-159, 225-229]</w:t>
            </w:r>
          </w:p>
          <w:p w14:paraId="062B0C4A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FRKA, D., MESIĆ, J., 2012. – Danijel Frka, Jasen Mesić, Blago Jadrana : ronilački vodič po olupinama hrvatskog Jadrana, Rijeka. [odgovarajuća poglavlja]</w:t>
            </w:r>
          </w:p>
          <w:p w14:paraId="3C8338DE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lastRenderedPageBreak/>
              <w:t>GUSAR, K., VISKOVIĆ, E., 2012. – Karla Gusar, Eduard Visković, Keramika kasnog srednjeg i ranog novog vijeka s područja grada Hvara, Dani Stjepana Gunjače 2. Zbornik radova sa Znanstvenog skupa „Dani Stjepana Gunjače 2”, Split, 237-266.</w:t>
            </w:r>
          </w:p>
          <w:p w14:paraId="11296927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HORVAT, I., BIONDIĆ, R., 2005. – Ida Horvat, Radmila Biondić, Keramika i staklo 17. i 18. st. iz starog franjevačkog samostana, Osijek. [odgovarajuća poglavlja]</w:t>
            </w:r>
          </w:p>
          <w:p w14:paraId="7CB3C219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IZNIK, 2015. – Iznik – osmanska keramika iz dubine Jadrana, Zagreb. [odgovarajuća poglavlja, str. 38-121]</w:t>
            </w:r>
          </w:p>
          <w:p w14:paraId="172A3D7C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JELIČIĆ, J., 2008. – Janko Jeličić, Pištolji i revolveri, Zagreb. [odgovarajući opći dijelovi]</w:t>
            </w:r>
          </w:p>
          <w:p w14:paraId="4A857006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KRUHEK, M., 1995. – Milan Kruhek, Krajiške utvrde i obrana hrvatskog kraljevstva tijekom 16. stoljeća, Zagreb [odgovarajuća poglavlja, str. 13-39, 54-60]</w:t>
            </w:r>
          </w:p>
          <w:p w14:paraId="7C2775EF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LANDSTRÖM, B.,  1988. – Björn Landström, The Royal Warship Vasa, Stockholm.</w:t>
            </w:r>
          </w:p>
          <w:p w14:paraId="10E45746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LEPAGE, J.-D. G. G., 2010. – Jean-Denis G. G. Lepage, Vauban and the French military under Louis XIV : an illustrated history of fortifications and strategies, Jefferson – London.</w:t>
            </w:r>
          </w:p>
          <w:p w14:paraId="22F4DF3D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MILITARY HISTORY, 2012. – Military History. The Definitive Visual Guide to the Objects of Warfare, New York. [odgovarajuća poglavlja]</w:t>
            </w:r>
          </w:p>
          <w:p w14:paraId="2724F397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 xml:space="preserve">OAKESHOTT, E., 2000. – Ewart Oakeshott, European Weapons and Armour_From The Renaissance to the Industrial Revolution, Woodbridge. </w:t>
            </w:r>
          </w:p>
          <w:p w14:paraId="4FA1A5D2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PERKIĆ, D., 2010. – Domagoj Perkić, Pavlinski samostan u Kamenskom kod Karlovca, nalazi iz grobova kasnog srednjeg i novog vijeka, Vjesnik Arheološkog muzeja u Zagrebu sv. XLIII (2010), Zagreb, 227-288.</w:t>
            </w:r>
          </w:p>
          <w:p w14:paraId="07634B73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PETRICIOLI, I., 1971. – Ivo Petricioli, Han Jusufa Maškovića, Radovi Instituta JAZU u Zadru sv. 18, Zadar, 379-388.</w:t>
            </w:r>
          </w:p>
          <w:p w14:paraId="07522C4F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PITEŠA, A., 2009. – Ante Piteša, Katalog nalaza iz vremena seobe naroda, srednjeg i novog vijeka u Arheološkom muzeju u Splitu, Zagreb. [odgovarajuća poglavlja]</w:t>
            </w:r>
          </w:p>
          <w:p w14:paraId="767A88A5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 xml:space="preserve">RADIĆ, M., 2015. – Mladen Radić, Osijek i šira okolica u osmanskom periodu. Katalog izložbe, Osijek. </w:t>
            </w:r>
          </w:p>
          <w:p w14:paraId="55D919C0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RAUKAR, T. et al., 1987. – Tomislav Raukar, Ivo Petricioli, Franjo Švelec, Šime Peričić, Zadar pod mletačkom upravom : 1409–1797 (= Prošlost Zadra III), Zadar.</w:t>
            </w:r>
          </w:p>
          <w:p w14:paraId="04BDC5AD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SARTI, R., 2006. – Raffaella Sarti, Živjeti u kući. Stanovanje, prehrana i odijevanje u novovjekovnoj Europi (1500.-1800.), Zagreb.</w:t>
            </w:r>
          </w:p>
          <w:p w14:paraId="7F55390A" w14:textId="7777777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 xml:space="preserve">ŠERCER, M., 1980. – Marija Šercer, Oružje u prošlosti, Zagreb. </w:t>
            </w:r>
          </w:p>
          <w:p w14:paraId="63D07860" w14:textId="037A2182" w:rsidR="00FC2198" w:rsidRPr="0017531F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UNGER, J., 2006. – Josef Unger, Pohřební ritus 1. až 20. století v Evropě z antropologicko-archeologické perspektivy, Brno. [odgovarajuća poglavlja]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F8D06F4" w14:textId="0F086136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MAPIRE, 202</w:t>
            </w:r>
            <w:r>
              <w:rPr>
                <w:rFonts w:ascii="Merriweather" w:eastAsia="MS Gothic" w:hAnsi="Merriweather" w:cs="Times New Roman"/>
                <w:sz w:val="18"/>
              </w:rPr>
              <w:t>4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 xml:space="preserve">. – Mapire. The Historical Map Portal, http://mapire.eu/en/ (5. </w:t>
            </w:r>
            <w:r>
              <w:rPr>
                <w:rFonts w:ascii="Merriweather" w:eastAsia="MS Gothic" w:hAnsi="Merriweather" w:cs="Times New Roman"/>
                <w:sz w:val="18"/>
              </w:rPr>
              <w:t>rujna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 xml:space="preserve"> 202</w:t>
            </w:r>
            <w:r>
              <w:rPr>
                <w:rFonts w:ascii="Merriweather" w:eastAsia="MS Gothic" w:hAnsi="Merriweather" w:cs="Times New Roman"/>
                <w:sz w:val="18"/>
              </w:rPr>
              <w:t>4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>.)</w:t>
            </w:r>
          </w:p>
          <w:p w14:paraId="4050A418" w14:textId="2ECFA2D7" w:rsidR="00FD12D5" w:rsidRPr="00FC55BA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THE MARY ROSE, 202</w:t>
            </w:r>
            <w:r>
              <w:rPr>
                <w:rFonts w:ascii="Merriweather" w:eastAsia="MS Gothic" w:hAnsi="Merriweather" w:cs="Times New Roman"/>
                <w:sz w:val="18"/>
              </w:rPr>
              <w:t>4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 xml:space="preserve">. – The Mary Rose, https://maryrose.org/ (5. </w:t>
            </w:r>
            <w:r>
              <w:rPr>
                <w:rFonts w:ascii="Merriweather" w:eastAsia="MS Gothic" w:hAnsi="Merriweather" w:cs="Times New Roman"/>
                <w:sz w:val="18"/>
              </w:rPr>
              <w:t>rujna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 xml:space="preserve"> 202</w:t>
            </w:r>
            <w:r>
              <w:rPr>
                <w:rFonts w:ascii="Merriweather" w:eastAsia="MS Gothic" w:hAnsi="Merriweather" w:cs="Times New Roman"/>
                <w:sz w:val="18"/>
              </w:rPr>
              <w:t>4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>.)</w:t>
            </w:r>
          </w:p>
          <w:p w14:paraId="3DCC4888" w14:textId="4FAA8C28" w:rsidR="00FC2198" w:rsidRPr="0017531F" w:rsidRDefault="00FD12D5" w:rsidP="00FD12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VASA HISTORY, 202</w:t>
            </w:r>
            <w:r>
              <w:rPr>
                <w:rFonts w:ascii="Merriweather" w:eastAsia="MS Gothic" w:hAnsi="Merriweather" w:cs="Times New Roman"/>
                <w:sz w:val="18"/>
              </w:rPr>
              <w:t>4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 xml:space="preserve">. – Vasa History, Vasa Museet, https://www.vasamuseet.se/en/vasa-history (5. </w:t>
            </w:r>
            <w:r>
              <w:rPr>
                <w:rFonts w:ascii="Merriweather" w:eastAsia="MS Gothic" w:hAnsi="Merriweather" w:cs="Times New Roman"/>
                <w:sz w:val="18"/>
              </w:rPr>
              <w:t>rujna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 xml:space="preserve"> 202</w:t>
            </w:r>
            <w:r>
              <w:rPr>
                <w:rFonts w:ascii="Merriweather" w:eastAsia="MS Gothic" w:hAnsi="Merriweather" w:cs="Times New Roman"/>
                <w:sz w:val="18"/>
              </w:rPr>
              <w:t>4</w:t>
            </w:r>
            <w:r w:rsidRPr="00FC55BA">
              <w:rPr>
                <w:rFonts w:ascii="Merriweather" w:eastAsia="MS Gothic" w:hAnsi="Merriweather" w:cs="Times New Roman"/>
                <w:sz w:val="18"/>
              </w:rPr>
              <w:t>.)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283E29E2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C4753A9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12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7F490E5" w:rsidR="00FC2198" w:rsidRPr="0017531F" w:rsidRDefault="00FD12D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55BA">
              <w:rPr>
                <w:rFonts w:ascii="Merriweather" w:eastAsia="MS Gothic" w:hAnsi="Merriweather" w:cs="Times New Roman"/>
                <w:sz w:val="18"/>
              </w:rPr>
              <w:t>90% završni ispit, 10% projekt i sudjelovanje na nastavi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F28D257" w:rsidR="00FC2198" w:rsidRPr="0017531F" w:rsidRDefault="00FD12D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0B59534" w:rsidR="00FC2198" w:rsidRPr="0017531F" w:rsidRDefault="00FD12D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AC729BA" w:rsidR="00FC2198" w:rsidRPr="0017531F" w:rsidRDefault="00FD12D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1A07091" w:rsidR="00FC2198" w:rsidRPr="0017531F" w:rsidRDefault="00FD12D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98D2164" w:rsidR="00FC2198" w:rsidRPr="0017531F" w:rsidRDefault="00FD12D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3B9D9B1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3C60C" w14:textId="77777777" w:rsidR="004A5EC1" w:rsidRDefault="004A5EC1" w:rsidP="009947BA">
      <w:pPr>
        <w:spacing w:before="0" w:after="0"/>
      </w:pPr>
      <w:r>
        <w:separator/>
      </w:r>
    </w:p>
  </w:endnote>
  <w:endnote w:type="continuationSeparator" w:id="0">
    <w:p w14:paraId="729333EF" w14:textId="77777777" w:rsidR="004A5EC1" w:rsidRDefault="004A5EC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CE9D0" w14:textId="77777777" w:rsidR="004A5EC1" w:rsidRDefault="004A5EC1" w:rsidP="009947BA">
      <w:pPr>
        <w:spacing w:before="0" w:after="0"/>
      </w:pPr>
      <w:r>
        <w:separator/>
      </w:r>
    </w:p>
  </w:footnote>
  <w:footnote w:type="continuationSeparator" w:id="0">
    <w:p w14:paraId="3B02457A" w14:textId="77777777" w:rsidR="004A5EC1" w:rsidRDefault="004A5EC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66709"/>
    <w:rsid w:val="000C0578"/>
    <w:rsid w:val="000D37E7"/>
    <w:rsid w:val="0010332B"/>
    <w:rsid w:val="001443A2"/>
    <w:rsid w:val="00150B32"/>
    <w:rsid w:val="00167AFF"/>
    <w:rsid w:val="0017531F"/>
    <w:rsid w:val="00197510"/>
    <w:rsid w:val="001C7C51"/>
    <w:rsid w:val="00226462"/>
    <w:rsid w:val="0022722C"/>
    <w:rsid w:val="0028545A"/>
    <w:rsid w:val="00290F73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A5EC1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8E57B9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AE0DB3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2AC6"/>
    <w:rsid w:val="00EB5A72"/>
    <w:rsid w:val="00F02A8F"/>
    <w:rsid w:val="00F1422B"/>
    <w:rsid w:val="00F22855"/>
    <w:rsid w:val="00F513E0"/>
    <w:rsid w:val="00F566DA"/>
    <w:rsid w:val="00F82834"/>
    <w:rsid w:val="00F84F5E"/>
    <w:rsid w:val="00FC2198"/>
    <w:rsid w:val="00FC283E"/>
    <w:rsid w:val="00FD12D5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D1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sucur@unizd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sucur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sucur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jsucur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Jure</cp:lastModifiedBy>
  <cp:revision>5</cp:revision>
  <cp:lastPrinted>2021-02-12T11:27:00Z</cp:lastPrinted>
  <dcterms:created xsi:type="dcterms:W3CDTF">2024-07-17T08:40:00Z</dcterms:created>
  <dcterms:modified xsi:type="dcterms:W3CDTF">2024-09-10T22:12:00Z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