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13"/>
        <w:gridCol w:w="48"/>
        <w:gridCol w:w="292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4F670384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866F4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866F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7362A0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05BBC8EA" w:rsidR="004B553E" w:rsidRPr="00FF1020" w:rsidRDefault="00B477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Antička baština na tlu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73F32AFB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011635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2B4BF7E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26BD096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5CB89D78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45665303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5EFF36B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42408E2E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CCE507F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4AED4690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3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3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3"/>
          </w:tcPr>
          <w:p w14:paraId="176E3231" w14:textId="123033F5" w:rsidR="00453362" w:rsidRPr="00FF1020" w:rsidRDefault="00B477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F234D3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2. 202</w:t>
            </w:r>
            <w:r w:rsidR="00F234D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7594A016" w:rsidR="00453362" w:rsidRPr="00FF1020" w:rsidRDefault="00F234D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B47752">
              <w:rPr>
                <w:rFonts w:ascii="Merriweather" w:hAnsi="Merriweather" w:cs="Times New Roman"/>
                <w:sz w:val="18"/>
              </w:rPr>
              <w:t>. 6.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B4775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B8DAE43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533BF49C" w:rsidR="00453362" w:rsidRPr="00FF1020" w:rsidRDefault="00B477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II.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5922C6F6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</w:t>
            </w:r>
            <w:r w:rsidR="00B47752">
              <w:rPr>
                <w:rFonts w:ascii="Merriweather" w:hAnsi="Merriweather" w:cs="Times New Roman"/>
                <w:sz w:val="18"/>
              </w:rPr>
              <w:t>4</w:t>
            </w:r>
            <w:r w:rsidRPr="007A734B">
              <w:rPr>
                <w:rFonts w:ascii="Merriweather" w:hAnsi="Merriweather" w:cs="Times New Roman"/>
                <w:sz w:val="18"/>
              </w:rPr>
              <w:t>-1</w:t>
            </w:r>
            <w:r w:rsidR="00B47752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FDAF326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48CDBED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D9E6483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7362A0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068F426A" w:rsidR="00310F9A" w:rsidRPr="00B47752" w:rsidRDefault="00B477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t>Budući da su tekovine antičke civilizacije koje smo baštinili, također i spomenička baština i materijalna kultura antike koja nas okružuje, sastavni dio našeg kulturnog identiteta, glavni je cilj kolegija da ih se prouči u njihovom integralnom arheološkom i historijskom kontekstu.</w:t>
            </w:r>
          </w:p>
        </w:tc>
      </w:tr>
      <w:tr w:rsidR="00310F9A" w:rsidRPr="00FF1020" w14:paraId="53A1A7AC" w14:textId="77777777" w:rsidTr="007362A0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4478A518" w14:textId="77777777" w:rsidR="00B47752" w:rsidRPr="00B47752" w:rsidRDefault="00B47752" w:rsidP="00B47752">
            <w:pPr>
              <w:autoSpaceDE w:val="0"/>
              <w:autoSpaceDN w:val="0"/>
              <w:adjustRightInd w:val="0"/>
              <w:rPr>
                <w:rFonts w:ascii="Merriweather" w:hAnsi="Merriweather"/>
                <w:bCs/>
                <w:sz w:val="18"/>
                <w:szCs w:val="18"/>
              </w:rPr>
            </w:pPr>
            <w:r w:rsidRPr="00B47752">
              <w:rPr>
                <w:rFonts w:ascii="Merriweather" w:hAnsi="Merriweather"/>
                <w:bCs/>
                <w:sz w:val="18"/>
                <w:szCs w:val="18"/>
              </w:rPr>
              <w:t>Nakon položenog ispita studenti će:</w:t>
            </w:r>
          </w:p>
          <w:p w14:paraId="63625E50" w14:textId="77777777" w:rsidR="00B47752" w:rsidRPr="00B47752" w:rsidRDefault="00B47752" w:rsidP="00B47752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b/>
                <w:sz w:val="18"/>
                <w:szCs w:val="18"/>
                <w:lang w:eastAsia="hr-HR"/>
              </w:rPr>
            </w:pPr>
            <w:r w:rsidRPr="00B4775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- </w:t>
            </w:r>
            <w:r w:rsidRPr="00B47752">
              <w:rPr>
                <w:rFonts w:ascii="Merriweather" w:hAnsi="Merriweather"/>
                <w:sz w:val="18"/>
                <w:szCs w:val="18"/>
              </w:rPr>
              <w:t>steći opći uvid u spomeničku baštinu i materijalnu kulturu antike dokumentiranu na tlu Hrvatske</w:t>
            </w:r>
            <w:r w:rsidRPr="00B47752">
              <w:rPr>
                <w:rFonts w:ascii="Merriweather" w:hAnsi="Merriweather"/>
                <w:bCs/>
                <w:sz w:val="18"/>
                <w:szCs w:val="18"/>
              </w:rPr>
              <w:t>,</w:t>
            </w:r>
          </w:p>
          <w:p w14:paraId="4FC8FFAC" w14:textId="77777777" w:rsidR="00B47752" w:rsidRPr="00B47752" w:rsidRDefault="00B47752" w:rsidP="00B47752">
            <w:pPr>
              <w:rPr>
                <w:rFonts w:ascii="Merriweather" w:hAnsi="Merriweather"/>
                <w:sz w:val="18"/>
                <w:szCs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t>- steći temeljna znanja o najznačajnijim urbanističkim cjelinama, arhitektonskim objektima i pojedinačnim spomenicima dokumentiranim na prostoru Histrije, Dalmacije i Panonije u antičkom i kasnoantičkom razdoblju,</w:t>
            </w:r>
          </w:p>
          <w:p w14:paraId="3BB6171E" w14:textId="6D0556CD" w:rsidR="00310F9A" w:rsidRPr="00B47752" w:rsidRDefault="00B47752" w:rsidP="00B477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lastRenderedPageBreak/>
              <w:t>- percipirati složene procese romanizacije i akulturacije u historijskom i arheološkom kontekstu na predmetnom prostoru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7362A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7362A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53003B3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7362A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42D3772D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  <w:r w:rsidR="00FC2198" w:rsidRPr="007A734B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FC2198" w:rsidRPr="00FF1020" w14:paraId="5BBBA97B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47" w:type="dxa"/>
            <w:gridSpan w:val="12"/>
          </w:tcPr>
          <w:p w14:paraId="3E41468E" w14:textId="4B9DEFF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5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521" w:type="dxa"/>
            <w:gridSpan w:val="10"/>
          </w:tcPr>
          <w:p w14:paraId="693C826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47" w:type="dxa"/>
            <w:gridSpan w:val="12"/>
            <w:vAlign w:val="center"/>
          </w:tcPr>
          <w:p w14:paraId="4347DF7B" w14:textId="050BA496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21" w:type="dxa"/>
            <w:gridSpan w:val="10"/>
            <w:vAlign w:val="center"/>
          </w:tcPr>
          <w:p w14:paraId="37554F32" w14:textId="100BD427" w:rsidR="00FC2198" w:rsidRPr="00FF1020" w:rsidRDefault="00736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F234D3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F234D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.; 2</w:t>
            </w:r>
            <w:r w:rsidR="00F234D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F234D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72829E8E" w:rsidR="00FC2198" w:rsidRPr="00FF1020" w:rsidRDefault="00F234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86609F">
              <w:rPr>
                <w:rFonts w:ascii="Merriweather" w:hAnsi="Merriweather" w:cs="Times New Roman"/>
                <w:sz w:val="18"/>
              </w:rPr>
              <w:t>. 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1866F4">
              <w:rPr>
                <w:rFonts w:ascii="Merriweather" w:hAnsi="Merriweather" w:cs="Times New Roman"/>
                <w:sz w:val="18"/>
              </w:rPr>
              <w:t>.</w:t>
            </w:r>
            <w:r w:rsidR="0086609F">
              <w:rPr>
                <w:rFonts w:ascii="Merriweather" w:hAnsi="Merriweather" w:cs="Times New Roman"/>
                <w:sz w:val="18"/>
              </w:rPr>
              <w:t>; 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86609F">
              <w:rPr>
                <w:rFonts w:ascii="Merriweather" w:hAnsi="Merriweather" w:cs="Times New Roman"/>
                <w:sz w:val="18"/>
              </w:rPr>
              <w:t>. 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86609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7362A0" w:rsidRPr="00FF1020" w14:paraId="71701679" w14:textId="77777777" w:rsidTr="00B520D3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7362A0" w:rsidRPr="00FF1020" w:rsidRDefault="007362A0" w:rsidP="007362A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25503AF9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Pod utjecajem helenističke kulture i poglavito rimske civilizacije na istočnom Jadranu i njegovom limitrofnom prostoru zbivale su se tijekom antike snažne političke, društvene i kulturološke promjene. Ilirik, kasnije postupno razdvojen na Histriju i provinciju Dalmaciju i Panoniju, bio je čvrsto sjedinjenjem u rimski državno-pravni, fiskalni i gospodarski okvir. Prihvaćanjem rimskih životnih obrazaca stanovništvo kreira novi "rimski" identitet, koji se jasno očituje u prihvaćanju latinskog jezika i pisma, rimskoga prava, institucija, urbanizma, arhitekture, religije i kulta, umjetnosti i drugih civilizacijskih normi življenja. Nove tehnologije, promet i trgovina potakli su snažan gospodarski razvoj. Izgradnjom gradova, luka, cesta i drugih infrastrukturnih objekata, također centurijacijom agera i gradnjom objekata gospodarsko-ladanjskog karaktera na teritoriju, trajno se promijenio kulturni krajolik. Razvojem kršćanstva nastale su nove duhovne vrijednosti, koje se reflektiraju u crkvenoj ranokršćanskoj arhitekturi, umjetnosti, epigrafiji i dr.</w:t>
            </w:r>
          </w:p>
        </w:tc>
      </w:tr>
      <w:tr w:rsidR="00FC2198" w:rsidRPr="00FF1020" w14:paraId="7B1F2922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7F3BC3A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7362A0">
              <w:rPr>
                <w:rFonts w:ascii="Merriweather" w:hAnsi="Merriweather"/>
                <w:sz w:val="18"/>
                <w:szCs w:val="18"/>
              </w:rPr>
              <w:t>Kronološki pregled povijesnih zbivanja u Iliriku: grčka kolonizacija, autohtoni supstrat, rimsko osvajanje, rimska uprava u Histriji, Dalmaciji i Panoniji, kasnoantičko razdoblje</w:t>
            </w:r>
          </w:p>
          <w:p w14:paraId="32CED31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7362A0">
              <w:rPr>
                <w:rFonts w:ascii="Merriweather" w:hAnsi="Merriweather"/>
                <w:sz w:val="18"/>
                <w:szCs w:val="18"/>
              </w:rPr>
              <w:t>Helenistička baština: urbanizam, arhitektura, skulptura, umjetnički obrt, novac, pismo</w:t>
            </w:r>
          </w:p>
          <w:p w14:paraId="4385BE66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7362A0">
              <w:rPr>
                <w:rFonts w:ascii="Merriweather" w:hAnsi="Merriweather"/>
                <w:sz w:val="18"/>
                <w:szCs w:val="18"/>
              </w:rPr>
              <w:t>Rimska vojska i organizacija uprave u Iliriku</w:t>
            </w:r>
          </w:p>
          <w:p w14:paraId="7CE6381A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7362A0">
              <w:rPr>
                <w:rFonts w:ascii="Merriweather" w:hAnsi="Merriweather"/>
                <w:sz w:val="18"/>
                <w:szCs w:val="18"/>
              </w:rPr>
              <w:t>Epigrafija kao civilizacijski izraz u Iliriku</w:t>
            </w:r>
          </w:p>
          <w:p w14:paraId="2703309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7362A0">
              <w:rPr>
                <w:rFonts w:ascii="Merriweather" w:hAnsi="Merriweather"/>
                <w:sz w:val="18"/>
                <w:szCs w:val="18"/>
              </w:rPr>
              <w:t>Urbanizam i arhitektura rimskodobnih gradova u Histriji, Dalmaciji i Panoniji</w:t>
            </w:r>
          </w:p>
          <w:p w14:paraId="406CB18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7362A0">
              <w:rPr>
                <w:rFonts w:ascii="Merriweather" w:hAnsi="Merriweather"/>
                <w:sz w:val="18"/>
                <w:szCs w:val="18"/>
              </w:rPr>
              <w:t>Gospodarstvo (poljoprivreda, obrt, rudarstvo, trgovina, monetarni sustav), promet i pomorstvo</w:t>
            </w:r>
          </w:p>
          <w:p w14:paraId="24E4691B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7362A0">
              <w:rPr>
                <w:rFonts w:ascii="Merriweather" w:hAnsi="Merriweather"/>
                <w:sz w:val="18"/>
                <w:szCs w:val="18"/>
              </w:rPr>
              <w:t>Kiparstvo (javna i privatna skulptura), mozaici, slikarstvo, umjetnički obrt</w:t>
            </w:r>
          </w:p>
          <w:p w14:paraId="69A10673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7362A0">
              <w:rPr>
                <w:rFonts w:ascii="Merriweather" w:hAnsi="Merriweather"/>
                <w:sz w:val="18"/>
                <w:szCs w:val="18"/>
              </w:rPr>
              <w:t>Kiparstvo (javna i privatna skulptura), mozaici, slikarstvo, umjetnički obrt</w:t>
            </w:r>
          </w:p>
          <w:p w14:paraId="61815B38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7362A0">
              <w:rPr>
                <w:rFonts w:ascii="Merriweather" w:hAnsi="Merriweather"/>
                <w:sz w:val="18"/>
                <w:szCs w:val="18"/>
              </w:rPr>
              <w:t>Sepulkralni spomenici (stele, are, sarkofazi, spomenici tipa tzv. liburnski cipusi i japodske urne)</w:t>
            </w:r>
          </w:p>
          <w:p w14:paraId="3A954D55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7362A0">
              <w:rPr>
                <w:rFonts w:ascii="Merriweather" w:hAnsi="Merriweather"/>
                <w:sz w:val="18"/>
                <w:szCs w:val="18"/>
              </w:rPr>
              <w:t>Municipalizacija u Liburniji</w:t>
            </w:r>
          </w:p>
          <w:p w14:paraId="0CC4957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7362A0">
              <w:rPr>
                <w:rFonts w:ascii="Merriweather" w:hAnsi="Merriweather"/>
                <w:sz w:val="18"/>
                <w:szCs w:val="18"/>
              </w:rPr>
              <w:t>Antički gradovi i naselja u Istri (Pola, Parentium, Nesactium)</w:t>
            </w:r>
          </w:p>
          <w:p w14:paraId="6CA7AD8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7362A0">
              <w:rPr>
                <w:rFonts w:ascii="Merriweather" w:hAnsi="Merriweather"/>
                <w:sz w:val="18"/>
                <w:szCs w:val="18"/>
              </w:rPr>
              <w:t>Antički gradovi i naselja u Dalmaciji (Salona, Narona, Epidaurum...)</w:t>
            </w:r>
          </w:p>
          <w:p w14:paraId="77BA15EC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7362A0">
              <w:rPr>
                <w:rFonts w:ascii="Merriweather" w:hAnsi="Merriweather"/>
                <w:sz w:val="18"/>
                <w:szCs w:val="18"/>
              </w:rPr>
              <w:t>Lika i Banovina u rimsko doba</w:t>
            </w:r>
          </w:p>
          <w:p w14:paraId="38E7E9F5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7362A0">
              <w:rPr>
                <w:rFonts w:ascii="Merriweather" w:hAnsi="Merriweather"/>
                <w:sz w:val="18"/>
                <w:szCs w:val="18"/>
              </w:rPr>
              <w:t>Antički gradovi i naselja u Panoniji (Aquae Iasae, Andautonia, Siscia, Mursa, Cibalae...)</w:t>
            </w:r>
          </w:p>
          <w:p w14:paraId="45697E4D" w14:textId="34073326" w:rsidR="00FC2198" w:rsidRPr="0086609F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15. </w:t>
            </w:r>
            <w:r w:rsidRPr="007362A0">
              <w:rPr>
                <w:rFonts w:ascii="Merriweather" w:hAnsi="Merriweather"/>
                <w:sz w:val="18"/>
                <w:szCs w:val="18"/>
              </w:rPr>
              <w:t>Kasnoantička i ranokršćanska baština na tlu Hrvatske</w:t>
            </w:r>
          </w:p>
        </w:tc>
      </w:tr>
      <w:tr w:rsidR="00FC2198" w:rsidRPr="00FF1020" w14:paraId="2F379AC9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0B8E8102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Grci na tlu Hrvatske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Galerija Klovićevi dvori, Zagreb, 2010.</w:t>
            </w:r>
          </w:p>
          <w:p w14:paraId="74F7ED8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portret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>, Nakladni zavod Matice hrvatske, 1991.</w:t>
            </w:r>
          </w:p>
          <w:p w14:paraId="6660895E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Imago animi: antički portret u Hrvatskoj, </w:t>
            </w:r>
            <w:r w:rsidRPr="007362A0">
              <w:rPr>
                <w:rFonts w:ascii="Merriweather" w:hAnsi="Merriweather"/>
                <w:sz w:val="18"/>
                <w:szCs w:val="18"/>
              </w:rPr>
              <w:t>Književni krug, Split, 2000.</w:t>
            </w:r>
          </w:p>
          <w:p w14:paraId="2082CADE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Antika</w:t>
            </w:r>
            <w:r w:rsidRPr="007362A0">
              <w:rPr>
                <w:rFonts w:ascii="Merriweather" w:hAnsi="Merriweather"/>
                <w:sz w:val="18"/>
                <w:szCs w:val="18"/>
              </w:rPr>
              <w:t>, Naklada Ljevak, Zagreb, 2002.</w:t>
            </w:r>
          </w:p>
          <w:p w14:paraId="54AD79D1" w14:textId="04078A86" w:rsid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Kiparstvo rimske Dalmacije</w:t>
            </w:r>
            <w:r w:rsidRPr="007362A0">
              <w:rPr>
                <w:rFonts w:ascii="Merriweather" w:hAnsi="Merriweather"/>
                <w:sz w:val="18"/>
                <w:szCs w:val="18"/>
              </w:rPr>
              <w:t>, Književni krug, Split, 2005.</w:t>
            </w:r>
          </w:p>
          <w:p w14:paraId="3059EE81" w14:textId="77D52A2C" w:rsidR="008405BB" w:rsidRPr="008405BB" w:rsidRDefault="008405BB" w:rsidP="007362A0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>
              <w:rPr>
                <w:rFonts w:ascii="Merriweather" w:hAnsi="Merriweather"/>
                <w:i/>
                <w:iCs/>
                <w:sz w:val="18"/>
                <w:szCs w:val="18"/>
              </w:rPr>
              <w:t>Umjetnost antike u hrvatskim krajevima</w:t>
            </w:r>
            <w:r>
              <w:rPr>
                <w:rFonts w:ascii="Merriweather" w:hAnsi="Merriweather"/>
                <w:sz w:val="18"/>
                <w:szCs w:val="18"/>
              </w:rPr>
              <w:t>, Književni krug, Split, 2020.</w:t>
            </w:r>
          </w:p>
          <w:p w14:paraId="1E27389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lastRenderedPageBreak/>
              <w:t>Klasični Rim na tlu Hrvatske: arhitektura, urbanizam, skulptura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Galerija Klovićevi dvori, Zagreb, 2014.</w:t>
            </w:r>
          </w:p>
          <w:p w14:paraId="48E19FE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Kroatien in der Antike</w:t>
            </w:r>
            <w:r w:rsidRPr="007362A0">
              <w:rPr>
                <w:rFonts w:ascii="Merriweather" w:hAnsi="Merriweather"/>
                <w:sz w:val="18"/>
                <w:szCs w:val="18"/>
              </w:rPr>
              <w:t>, Verlag Phillip von Zabern, Mainz am Rhein, 2007.</w:t>
            </w:r>
          </w:p>
          <w:p w14:paraId="12C0720F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Stotinu hrvatskih arheoloških nalazišta</w:t>
            </w:r>
            <w:r w:rsidRPr="007362A0">
              <w:rPr>
                <w:rFonts w:ascii="Merriweather" w:hAnsi="Merriweather"/>
                <w:sz w:val="18"/>
                <w:szCs w:val="18"/>
              </w:rPr>
              <w:t>, Leksikografski zavod Miroslav Krleža, Zagreb, 2006.</w:t>
            </w:r>
          </w:p>
          <w:p w14:paraId="7BE456B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Mate Suić,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grad na istočnom Jadranu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(2. dopunjeno izdanje), Golden marketing, Zagreb, 2003.</w:t>
            </w:r>
          </w:p>
          <w:p w14:paraId="64E1383E" w14:textId="01DF2C82" w:rsidR="00FC2198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Marin Zaninović,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Od Helena do Hrvata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Zagreb, 1996.</w:t>
            </w:r>
          </w:p>
        </w:tc>
      </w:tr>
      <w:tr w:rsidR="00FC2198" w:rsidRPr="00FF1020" w14:paraId="331983BE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  <w:vAlign w:val="center"/>
          </w:tcPr>
          <w:p w14:paraId="7B3E0CE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Antička Salona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(ur. N. Cambi), Književni krug, Split, 1991.</w:t>
            </w:r>
          </w:p>
          <w:p w14:paraId="16818A6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Marija Buzov, Antički gradovi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kontinentalnoj 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Hrvatskoj, 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>I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zdanja Hrvatskog arheološkog društva</w:t>
            </w:r>
            <w:r w:rsidRPr="007362A0">
              <w:rPr>
                <w:rFonts w:ascii="Merriweather" w:hAnsi="Merriweather"/>
                <w:sz w:val="18"/>
                <w:szCs w:val="18"/>
              </w:rPr>
              <w:t>, sv. 25, Zagreb, 2010, 137-171.</w:t>
            </w:r>
          </w:p>
          <w:p w14:paraId="02A769C3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Marija Buzov,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i ranokršćanski mozaici s natpisom u Hrvatskoj: arheološke rasprave</w:t>
            </w:r>
            <w:r w:rsidRPr="007362A0">
              <w:rPr>
                <w:rFonts w:ascii="Merriweather" w:hAnsi="Merriweather"/>
                <w:sz w:val="18"/>
                <w:szCs w:val="18"/>
              </w:rPr>
              <w:t>, Zagreb, 2014.</w:t>
            </w:r>
          </w:p>
          <w:p w14:paraId="6B91173C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Boris Čargo,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Issa: povijesno-arheološki vodič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Split, 2004.</w:t>
            </w:r>
          </w:p>
          <w:p w14:paraId="383537E2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Vesna Girardi Jurkić,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Duhovna kultura antičke Istre. Kultovi u procesu romanizacije antičke Istre </w:t>
            </w:r>
            <w:r w:rsidRPr="007362A0">
              <w:rPr>
                <w:rFonts w:ascii="Merriweather" w:hAnsi="Merriweather"/>
                <w:sz w:val="18"/>
                <w:szCs w:val="18"/>
              </w:rPr>
              <w:t>(Knjiga I), Školska knjiga, Zagreb, 2005.</w:t>
            </w:r>
          </w:p>
          <w:p w14:paraId="6CADB6D6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Branko Kirig,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Issa: grčki grad na Jadranu</w:t>
            </w:r>
            <w:r w:rsidRPr="007362A0">
              <w:rPr>
                <w:rFonts w:ascii="Merriweather" w:hAnsi="Merriweather"/>
                <w:sz w:val="18"/>
                <w:szCs w:val="18"/>
              </w:rPr>
              <w:t>, Matica hrvatska, 1996.</w:t>
            </w:r>
          </w:p>
          <w:p w14:paraId="5F4C127F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Robert Matijašić,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Gospodarstvo antičke Istre, arheološki ostaci kao izvori za poznavanje društveno-gospodarskih odnosa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Istri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antici (I. st. pr. Kr.-III. st. posl. Kr.)</w:t>
            </w:r>
            <w:r w:rsidRPr="007362A0">
              <w:rPr>
                <w:rFonts w:ascii="Merriweather" w:hAnsi="Merriweather"/>
                <w:sz w:val="18"/>
                <w:szCs w:val="18"/>
              </w:rPr>
              <w:t>, Pula, 1988.</w:t>
            </w:r>
          </w:p>
          <w:p w14:paraId="046E7B91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Robert Matijašić,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Pula. Antički grad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Pula, 2005.</w:t>
            </w:r>
          </w:p>
          <w:p w14:paraId="1E118A80" w14:textId="77777777" w:rsidR="008405BB" w:rsidRPr="007362A0" w:rsidRDefault="008405BB" w:rsidP="008405BB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Robert Matijašić, Povijest hrvatskih zemalja u antici do cara Dioklecijana, 2009.</w:t>
            </w:r>
          </w:p>
          <w:p w14:paraId="21FB1F8D" w14:textId="77777777" w:rsidR="008405BB" w:rsidRPr="007362A0" w:rsidRDefault="008405BB" w:rsidP="008405BB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Robert Matijašić, Povijest hrvatskih zemalja u kasnoj antici od Dioklecijana do Justinijana, 2012.</w:t>
            </w:r>
          </w:p>
          <w:p w14:paraId="1D870C9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Jagoda Meder,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Podni mozaici u Hrvatskooj od 1. do 6. stoljeća</w:t>
            </w:r>
            <w:r w:rsidRPr="007362A0">
              <w:rPr>
                <w:rFonts w:ascii="Merriweather" w:hAnsi="Merriweather"/>
                <w:sz w:val="18"/>
                <w:szCs w:val="18"/>
              </w:rPr>
              <w:t>, Zagreb, 2003.</w:t>
            </w:r>
          </w:p>
          <w:p w14:paraId="60FAEF6B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Nalazi rimske vojne opreme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Finds of the Roman military equipment in Croatia</w:t>
            </w:r>
            <w:r w:rsidRPr="007362A0">
              <w:rPr>
                <w:rFonts w:ascii="Merriweather" w:hAnsi="Merriweather"/>
                <w:sz w:val="18"/>
                <w:szCs w:val="18"/>
              </w:rPr>
              <w:t>), katalog izložbe, Arheološki muzej Zagreb, Zagreb, 2010.</w:t>
            </w:r>
          </w:p>
          <w:p w14:paraId="15BFD1A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Karl Patsch,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Lika u rimsko doba </w:t>
            </w:r>
            <w:r w:rsidRPr="007362A0">
              <w:rPr>
                <w:rFonts w:ascii="Merriweather" w:hAnsi="Merriweather"/>
                <w:sz w:val="18"/>
                <w:szCs w:val="18"/>
              </w:rPr>
              <w:t>(prijevod Z. Derossi), Biblioteka Ličke župe, Gospić, 1990.</w:t>
            </w:r>
          </w:p>
          <w:p w14:paraId="7ADB088C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Pharos: antički stari grad, u povodu 2380. obljetnice utemeljenja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Muzejsko galerijski centar, Zagreb, 1995.</w:t>
            </w:r>
          </w:p>
          <w:p w14:paraId="3FE3DFFD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Danica Pinterović,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Mursa i njeno područje u antičko doba</w:t>
            </w:r>
            <w:r w:rsidRPr="007362A0">
              <w:rPr>
                <w:rFonts w:ascii="Merriweather" w:hAnsi="Merriweather"/>
                <w:sz w:val="18"/>
                <w:szCs w:val="18"/>
              </w:rPr>
              <w:t>, Osijek, 1978.</w:t>
            </w:r>
          </w:p>
          <w:p w14:paraId="2414D3F0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gradovi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2004.</w:t>
            </w:r>
          </w:p>
          <w:p w14:paraId="4E136EA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Ancient Greek and Roman Cities in Croatia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2004.</w:t>
            </w:r>
          </w:p>
          <w:p w14:paraId="5A892661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Imago provinciarum</w:t>
            </w:r>
            <w:r w:rsidRPr="007362A0">
              <w:rPr>
                <w:rFonts w:ascii="Merriweather" w:hAnsi="Merriweather"/>
                <w:sz w:val="18"/>
                <w:szCs w:val="18"/>
              </w:rPr>
              <w:t>, Zagreb, 2008.</w:t>
            </w:r>
          </w:p>
          <w:p w14:paraId="5A92410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Jasna Šimić – Slavica Filipović,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Kelti i Rimljani na području Osijeka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Muzej Slavonije, 1997.</w:t>
            </w:r>
          </w:p>
          <w:p w14:paraId="37D5E26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Domagoj Tončinić,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Spomenici VII. legije na području rimske provincije Dalmacije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Katalozi i monografije, 4, Split, 2011.</w:t>
            </w:r>
          </w:p>
          <w:p w14:paraId="5D44CA80" w14:textId="235AF44A" w:rsidR="00FC2198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Branka Vikić-Belančić, Tipovi naselja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sjeverozapadnoj 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Hrvatskoj, 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>I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zdanja Hrvatskog arheološkog društva</w:t>
            </w:r>
            <w:r w:rsidRPr="007362A0">
              <w:rPr>
                <w:rFonts w:ascii="Merriweather" w:hAnsi="Merriweather"/>
                <w:sz w:val="18"/>
                <w:szCs w:val="18"/>
              </w:rPr>
              <w:t>; sv. 2, Zagreb, 1978, 159-176.</w:t>
            </w:r>
          </w:p>
        </w:tc>
      </w:tr>
      <w:tr w:rsidR="00FC2198" w:rsidRPr="00FF1020" w14:paraId="06F4788D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lastRenderedPageBreak/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E013" w14:textId="77777777" w:rsidR="0029422E" w:rsidRDefault="0029422E" w:rsidP="009947BA">
      <w:pPr>
        <w:spacing w:before="0" w:after="0"/>
      </w:pPr>
      <w:r>
        <w:separator/>
      </w:r>
    </w:p>
  </w:endnote>
  <w:endnote w:type="continuationSeparator" w:id="0">
    <w:p w14:paraId="14D6AC3C" w14:textId="77777777" w:rsidR="0029422E" w:rsidRDefault="0029422E" w:rsidP="009947BA">
      <w:pPr>
        <w:spacing w:before="0" w:after="0"/>
      </w:pPr>
      <w:r>
        <w:continuationSeparator/>
      </w: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B85A" w14:textId="77777777" w:rsidR="0029422E" w:rsidRDefault="0029422E" w:rsidP="009947BA">
      <w:pPr>
        <w:spacing w:before="0" w:after="0"/>
      </w:pPr>
      <w:r>
        <w:separator/>
      </w:r>
    </w:p>
  </w:footnote>
  <w:footnote w:type="continuationSeparator" w:id="0">
    <w:p w14:paraId="108D6BA3" w14:textId="77777777" w:rsidR="0029422E" w:rsidRDefault="0029422E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